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*The intent of this product is to be a resource; not a replacement for institutional protocols. Standard 1 of AmSECT’s Standards and Guidelines for Perfusion Practice.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These Standards and Guidelines may also be superseded by the judgement of the healthcare professional taking into account the facts and circumstances of the individual case.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Layout w:type="fixed"/>
        <w:tblLook w:val="0000"/>
      </w:tblPr>
      <w:tblGrid>
        <w:gridCol w:w="2085"/>
        <w:gridCol w:w="795"/>
        <w:gridCol w:w="6480"/>
        <w:tblGridChange w:id="0">
          <w:tblGrid>
            <w:gridCol w:w="2085"/>
            <w:gridCol w:w="795"/>
            <w:gridCol w:w="6480"/>
          </w:tblGrid>
        </w:tblGridChange>
      </w:tblGrid>
      <w:tr>
        <w:trPr>
          <w:trHeight w:val="238" w:hRule="atLeast"/>
        </w:trPr>
        <w:tc>
          <w:tcPr/>
          <w:p w:rsidR="00000000" w:rsidDel="00000000" w:rsidP="00000000" w:rsidRDefault="00000000" w:rsidRPr="00000000" w14:paraId="00000004">
            <w:pPr>
              <w:ind w:left="-10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SUBJECT/TITLE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PREGNANT PATIENT </w:t>
            </w:r>
          </w:p>
        </w:tc>
      </w:tr>
      <w:tr>
        <w:trPr>
          <w:trHeight w:val="238" w:hRule="atLeast"/>
        </w:trPr>
        <w:tc>
          <w:tcPr/>
          <w:p w:rsidR="00000000" w:rsidDel="00000000" w:rsidP="00000000" w:rsidRDefault="00000000" w:rsidRPr="00000000" w14:paraId="00000007">
            <w:pPr>
              <w:ind w:left="-10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8" w:hRule="atLeast"/>
        </w:trPr>
        <w:tc>
          <w:tcPr/>
          <w:p w:rsidR="00000000" w:rsidDel="00000000" w:rsidP="00000000" w:rsidRDefault="00000000" w:rsidRPr="00000000" w14:paraId="0000000A">
            <w:pPr>
              <w:ind w:left="-10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Style w:val="Heading4"/>
              <w:rPr>
                <w:i w:val="0"/>
                <w:color w:val="000000"/>
              </w:rPr>
            </w:pPr>
            <w:bookmarkStart w:colFirst="0" w:colLast="0" w:name="_heading=h.a2bnnqzhxzvj" w:id="0"/>
            <w:bookmarkEnd w:id="0"/>
            <w:r w:rsidDel="00000000" w:rsidR="00000000" w:rsidRPr="00000000">
              <w:rPr>
                <w:i w:val="0"/>
                <w:color w:val="000000"/>
                <w:rtl w:val="0"/>
              </w:rPr>
              <w:t xml:space="preserve">To provide a guideline and resource when caring for a pregnant</w:t>
            </w:r>
          </w:p>
          <w:p w:rsidR="00000000" w:rsidDel="00000000" w:rsidP="00000000" w:rsidRDefault="00000000" w:rsidRPr="00000000" w14:paraId="0000000C">
            <w:pPr>
              <w:pStyle w:val="Heading4"/>
              <w:rPr>
                <w:i w:val="0"/>
                <w:color w:val="000000"/>
              </w:rPr>
            </w:pPr>
            <w:bookmarkStart w:colFirst="0" w:colLast="0" w:name="_heading=h.w6gn1z8xxna7" w:id="1"/>
            <w:bookmarkEnd w:id="1"/>
            <w:r w:rsidDel="00000000" w:rsidR="00000000" w:rsidRPr="00000000">
              <w:rPr>
                <w:i w:val="0"/>
                <w:color w:val="000000"/>
                <w:rtl w:val="0"/>
              </w:rPr>
              <w:t xml:space="preserve">patient.</w:t>
            </w:r>
          </w:p>
        </w:tc>
      </w:tr>
      <w:tr>
        <w:trPr>
          <w:trHeight w:val="238" w:hRule="atLeast"/>
        </w:trPr>
        <w:tc>
          <w:tcPr/>
          <w:p w:rsidR="00000000" w:rsidDel="00000000" w:rsidP="00000000" w:rsidRDefault="00000000" w:rsidRPr="00000000" w14:paraId="0000000E">
            <w:pPr>
              <w:ind w:left="-10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7" w:hRule="atLeast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tabs>
                <w:tab w:val="left" w:pos="576"/>
              </w:tabs>
              <w:ind w:left="-10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TARGET POPULATION: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Pregnant patients needing cardiopulmonary bypass.</w:t>
            </w:r>
          </w:p>
        </w:tc>
      </w:tr>
      <w:tr>
        <w:trPr>
          <w:trHeight w:val="238" w:hRule="atLeast"/>
        </w:trPr>
        <w:tc>
          <w:tcPr/>
          <w:p w:rsidR="00000000" w:rsidDel="00000000" w:rsidP="00000000" w:rsidRDefault="00000000" w:rsidRPr="00000000" w14:paraId="00000014">
            <w:pPr>
              <w:ind w:left="-10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5" w:hRule="atLeast"/>
        </w:trPr>
        <w:tc>
          <w:tcPr/>
          <w:p w:rsidR="00000000" w:rsidDel="00000000" w:rsidP="00000000" w:rsidRDefault="00000000" w:rsidRPr="00000000" w14:paraId="00000017">
            <w:pPr>
              <w:ind w:left="-10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Pregnant patients may need to undergo cardiac surgery due to a preexisting cardiac issue exacerbated by or created by pregnancy.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If surgical intervention becomes necessary during the pregnancy, it should occur as late as possible in the pregnancy.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Generally, it’s considered the 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trimester is after the first trimester organogenesis; but before the maximum maternal hemodynamic stress.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Pregnant patients have increased circulating blood volume, cardiac output and as a result, decreased hematocrit. Special considerations should be taken to accommodate the increased flow and oxygen demands.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Certain medications and rewarming can induce uterine contractions and premature labor.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Consider appropriate OB and NICU personnel on standby for premature delivery.</w:t>
      </w:r>
    </w:p>
    <w:p w:rsidR="00000000" w:rsidDel="00000000" w:rsidP="00000000" w:rsidRDefault="00000000" w:rsidRPr="00000000" w14:paraId="00000021">
      <w:pPr>
        <w:tabs>
          <w:tab w:val="left" w:pos="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PERFUSION PUMP CONSIDERATIONS:</w:t>
      </w:r>
    </w:p>
    <w:p w:rsidR="00000000" w:rsidDel="00000000" w:rsidP="00000000" w:rsidRDefault="00000000" w:rsidRPr="00000000" w14:paraId="00000022">
      <w:pPr>
        <w:tabs>
          <w:tab w:val="left" w:pos="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0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Pregnant patients have increased circulating blood volume and cardiac output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tabs>
          <w:tab w:val="left" w:pos="0"/>
        </w:tabs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An oxygenator capable of oxygenating 30-50% more blood than typically assigned to that patients’ weight/size.  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tabs>
          <w:tab w:val="left" w:pos="0"/>
        </w:tabs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Pump flow should be calculated using a 2.6-3.0 L/min/m2 cardiac index.(1)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tabs>
          <w:tab w:val="left" w:pos="0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pregnant patients’ increased blood volume may be disproportionate to the increased plasma volume, meaning hemostasis and anticoagulation may be different than typical.(2) </w:t>
      </w:r>
    </w:p>
    <w:p w:rsidR="00000000" w:rsidDel="00000000" w:rsidP="00000000" w:rsidRDefault="00000000" w:rsidRPr="00000000" w14:paraId="00000027">
      <w:pPr>
        <w:keepNext w:val="1"/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Pregnant patients often tend to be in a hypercoagulable state and usually require substantially higher than usual doses of heparin. *Heparin is 20 kDa and will NOT cross the placenta and endanger the fetus. (2)</w:t>
      </w:r>
    </w:p>
    <w:p w:rsidR="00000000" w:rsidDel="00000000" w:rsidP="00000000" w:rsidRDefault="00000000" w:rsidRPr="00000000" w14:paraId="00000028">
      <w:pPr>
        <w:keepNext w:val="1"/>
        <w:numPr>
          <w:ilvl w:val="0"/>
          <w:numId w:val="8"/>
        </w:numPr>
        <w:tabs>
          <w:tab w:val="left" w:pos="720"/>
        </w:tabs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An increase in heparin dosing is required. While the heparin doesn’t cross the placenta, it can create an increased risk of uterine hemorrhage for the mother.</w:t>
      </w:r>
    </w:p>
    <w:p w:rsidR="00000000" w:rsidDel="00000000" w:rsidP="00000000" w:rsidRDefault="00000000" w:rsidRPr="00000000" w14:paraId="00000029">
      <w:pPr>
        <w:keepNext w:val="1"/>
        <w:numPr>
          <w:ilvl w:val="0"/>
          <w:numId w:val="8"/>
        </w:numPr>
        <w:tabs>
          <w:tab w:val="left" w:pos="720"/>
        </w:tabs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Heparin dosing and limitations should be determined by the surgeon and anesthesiologist.</w:t>
      </w:r>
    </w:p>
    <w:p w:rsidR="00000000" w:rsidDel="00000000" w:rsidP="00000000" w:rsidRDefault="00000000" w:rsidRPr="00000000" w14:paraId="0000002A">
      <w:pPr>
        <w:keepNext w:val="1"/>
        <w:numPr>
          <w:ilvl w:val="0"/>
          <w:numId w:val="8"/>
        </w:numPr>
        <w:tabs>
          <w:tab w:val="left" w:pos="720"/>
        </w:tabs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Increased frequency of anticoagulation testing is recommended </w:t>
      </w:r>
    </w:p>
    <w:p w:rsidR="00000000" w:rsidDel="00000000" w:rsidP="00000000" w:rsidRDefault="00000000" w:rsidRPr="00000000" w14:paraId="0000002B">
      <w:pPr>
        <w:keepNext w:val="1"/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 fetal cardiac monitor (bilateral probe) and abdominal doppler is suggested. (1,4)</w:t>
      </w:r>
    </w:p>
    <w:p w:rsidR="00000000" w:rsidDel="00000000" w:rsidP="00000000" w:rsidRDefault="00000000" w:rsidRPr="00000000" w14:paraId="0000002C">
      <w:pPr>
        <w:keepNext w:val="1"/>
        <w:numPr>
          <w:ilvl w:val="0"/>
          <w:numId w:val="5"/>
        </w:numPr>
        <w:tabs>
          <w:tab w:val="left" w:pos="720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Selection of vasoactive and inotropic agents should be carefully considered. </w:t>
      </w:r>
    </w:p>
    <w:p w:rsidR="00000000" w:rsidDel="00000000" w:rsidP="00000000" w:rsidRDefault="00000000" w:rsidRPr="00000000" w14:paraId="0000002D">
      <w:pPr>
        <w:keepNext w:val="1"/>
        <w:numPr>
          <w:ilvl w:val="0"/>
          <w:numId w:val="9"/>
        </w:numPr>
        <w:tabs>
          <w:tab w:val="left" w:pos="720"/>
        </w:tabs>
        <w:spacing w:after="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Alpha agonists should be </w:t>
      </w:r>
      <w:r w:rsidDel="00000000" w:rsidR="00000000" w:rsidRPr="00000000">
        <w:rPr>
          <w:u w:val="single"/>
          <w:rtl w:val="0"/>
        </w:rPr>
        <w:t xml:space="preserve">avoided</w:t>
      </w:r>
      <w:r w:rsidDel="00000000" w:rsidR="00000000" w:rsidRPr="00000000">
        <w:rPr>
          <w:rtl w:val="0"/>
        </w:rPr>
        <w:t xml:space="preserve"> due to their restriction of placental blood flow. </w:t>
      </w:r>
    </w:p>
    <w:tbl>
      <w:tblPr>
        <w:tblStyle w:val="Table2"/>
        <w:tblW w:w="4680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tblGridChange w:id="0">
          <w:tblGrid>
            <w:gridCol w:w="4680"/>
          </w:tblGrid>
        </w:tblGridChange>
      </w:tblGrid>
      <w:tr>
        <w:tc>
          <w:tcPr/>
          <w:p w:rsidR="00000000" w:rsidDel="00000000" w:rsidP="00000000" w:rsidRDefault="00000000" w:rsidRPr="00000000" w14:paraId="0000002E">
            <w:pPr>
              <w:keepNext w:val="1"/>
              <w:tabs>
                <w:tab w:val="left" w:pos="720"/>
              </w:tabs>
              <w:spacing w:after="6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Avoid</w:t>
            </w:r>
            <w:r w:rsidDel="00000000" w:rsidR="00000000" w:rsidRPr="00000000">
              <w:rPr>
                <w:b w:val="1"/>
                <w:rtl w:val="0"/>
              </w:rPr>
              <w:t xml:space="preserve"> with pregnant patients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Norepinephrine/Phenylephrine</w:t>
            </w:r>
            <w:r w:rsidDel="00000000" w:rsidR="00000000" w:rsidRPr="00000000">
              <w:rPr>
                <w:rtl w:val="0"/>
              </w:rPr>
              <w:t xml:space="preserve"> -alpha agonist, constrict uterine vessels and reduce flow, may stimulate uterine contraction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Furosemide</w:t>
            </w:r>
            <w:r w:rsidDel="00000000" w:rsidR="00000000" w:rsidRPr="00000000">
              <w:rPr>
                <w:rtl w:val="0"/>
              </w:rPr>
              <w:t xml:space="preserve">- crosses placenta, may decrease placental perfusion, may prevent normal plasma volume expansion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Thiazide</w:t>
            </w:r>
            <w:r w:rsidDel="00000000" w:rsidR="00000000" w:rsidRPr="00000000">
              <w:rPr>
                <w:rtl w:val="0"/>
              </w:rPr>
              <w:t xml:space="preserve"> – crosses placenta, induces electrolyte imbalance, may increase risk of congenital defects, secondary fetal bradycardia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keepNext w:val="1"/>
              <w:tabs>
                <w:tab w:val="left" w:pos="720"/>
              </w:tabs>
              <w:spacing w:after="60" w:before="240" w:lineRule="auto"/>
              <w:rPr>
                <w:b w:val="1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Nitroprusside</w:t>
            </w:r>
            <w:r w:rsidDel="00000000" w:rsidR="00000000" w:rsidRPr="00000000">
              <w:rPr>
                <w:rtl w:val="0"/>
              </w:rPr>
              <w:t xml:space="preserve"> – crosses placenta, possible cyanide toxicity, reduced fetal blood flow.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Propranolol</w:t>
            </w:r>
            <w:r w:rsidDel="00000000" w:rsidR="00000000" w:rsidRPr="00000000">
              <w:rPr>
                <w:rtl w:val="0"/>
              </w:rPr>
              <w:t xml:space="preserve"> – crosses placenta, intrauterine growth retardation, fetal bradycardia, fetal toxicity, reduced uterine blood flow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Verapamil</w:t>
            </w:r>
            <w:r w:rsidDel="00000000" w:rsidR="00000000" w:rsidRPr="00000000">
              <w:rPr>
                <w:rtl w:val="0"/>
              </w:rPr>
              <w:t xml:space="preserve">- crosses placenta, may reduce uterine blood flow with fetal hypoxia</w:t>
            </w:r>
          </w:p>
        </w:tc>
      </w:tr>
    </w:tbl>
    <w:p w:rsidR="00000000" w:rsidDel="00000000" w:rsidP="00000000" w:rsidRDefault="00000000" w:rsidRPr="00000000" w14:paraId="00000035">
      <w:pPr>
        <w:keepNext w:val="1"/>
        <w:tabs>
          <w:tab w:val="left" w:pos="720"/>
        </w:tabs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tabs>
          <w:tab w:val="left" w:pos="720"/>
        </w:tabs>
        <w:spacing w:after="60"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35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855"/>
        <w:tblGridChange w:id="0">
          <w:tblGrid>
            <w:gridCol w:w="4680"/>
            <w:gridCol w:w="4855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keepNext w:val="1"/>
              <w:tabs>
                <w:tab w:val="left" w:pos="720"/>
              </w:tabs>
              <w:spacing w:after="6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Acceptable</w:t>
            </w:r>
            <w:r w:rsidDel="00000000" w:rsidR="00000000" w:rsidRPr="00000000">
              <w:rPr>
                <w:b w:val="1"/>
                <w:rtl w:val="0"/>
              </w:rPr>
              <w:t xml:space="preserve"> for pregnant patients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Hydralazine</w:t>
            </w:r>
            <w:r w:rsidDel="00000000" w:rsidR="00000000" w:rsidRPr="00000000">
              <w:rPr>
                <w:rtl w:val="0"/>
              </w:rPr>
              <w:t xml:space="preserve">- crosses placenta, vasodilator of choice, will decrease blood pressure in mother, while increasing renal and uterine blood flow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Digoxin</w:t>
            </w:r>
            <w:r w:rsidDel="00000000" w:rsidR="00000000" w:rsidRPr="00000000">
              <w:rPr>
                <w:rtl w:val="0"/>
              </w:rPr>
              <w:t xml:space="preserve"> – crosses placenta without causing harm, drug of choice for persistent fetal bradycardia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Quinidine</w:t>
            </w:r>
            <w:r w:rsidDel="00000000" w:rsidR="00000000" w:rsidRPr="00000000">
              <w:rPr>
                <w:rtl w:val="0"/>
              </w:rPr>
              <w:t xml:space="preserve"> – Cross placenta, related to fetal thrombocytopenia, used with digoxin to treat fetal supraventricular tachycardia *2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drug of choice after digoxin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Atropine</w:t>
            </w:r>
            <w:r w:rsidDel="00000000" w:rsidR="00000000" w:rsidRPr="00000000">
              <w:rPr>
                <w:rtl w:val="0"/>
              </w:rPr>
              <w:t xml:space="preserve"> – crosses placenta, no effect on uterine activity, fetal heart rate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Dopamine</w:t>
            </w:r>
            <w:r w:rsidDel="00000000" w:rsidR="00000000" w:rsidRPr="00000000">
              <w:rPr>
                <w:rtl w:val="0"/>
              </w:rPr>
              <w:t xml:space="preserve">- no known adverse effects, increases uterine blood flow, may stimulate contractions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Epinephrine-</w:t>
            </w:r>
            <w:r w:rsidDel="00000000" w:rsidR="00000000" w:rsidRPr="00000000">
              <w:rPr>
                <w:rtl w:val="0"/>
              </w:rPr>
              <w:t xml:space="preserve"> vasopressor of choice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keepNext w:val="1"/>
              <w:tabs>
                <w:tab w:val="left" w:pos="720"/>
              </w:tabs>
              <w:spacing w:after="60"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Atenolol</w:t>
            </w:r>
            <w:r w:rsidDel="00000000" w:rsidR="00000000" w:rsidRPr="00000000">
              <w:rPr>
                <w:rtl w:val="0"/>
              </w:rPr>
              <w:t xml:space="preserve">- Crosses placenta with no fetal malformations, decrease in fetal heart rate may occur</w:t>
            </w:r>
          </w:p>
        </w:tc>
      </w:tr>
    </w:tbl>
    <w:p w:rsidR="00000000" w:rsidDel="00000000" w:rsidP="00000000" w:rsidRDefault="00000000" w:rsidRPr="00000000" w14:paraId="0000003F">
      <w:pPr>
        <w:keepNext w:val="1"/>
        <w:tabs>
          <w:tab w:val="left" w:pos="720"/>
        </w:tabs>
        <w:spacing w:after="60" w:before="240" w:line="276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the patient in a mild, left lateral tilt position by elevating the right hip.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elps rotate the uterus away from the IVC which will help with venous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return. (1,2)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Femoral cannulation should be avoided if possible due to decreased femoral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venous drainage. </w:t>
      </w:r>
      <w:r w:rsidDel="00000000" w:rsidR="00000000" w:rsidRPr="00000000">
        <w:rPr>
          <w:rtl w:val="0"/>
        </w:rPr>
        <w:t xml:space="preserve">Femoral 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rterial cannulation may cause hypo-perfusion to the uterus.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Right atrial scavenging of cardioplegia may be an option to maintain a low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potassium level, which is critical to not inducing fetal arrhythmias. (1)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blood gas levels diligently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glucose levels should remain in normal range to replenish depleted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fetal glycogen stores. (2)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Adequate hematocrit should be maintained to assure oxygen delivery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fetus (1,3)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Excess hemodilution of progesterone may cause premature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contractions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Pump flow should reflect the increased cardiac index demand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Efforts should be made to avoid hypotension. There is no uterine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autoregulation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therefore hypotension will result in fetal hypotension. (3)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fetal heart rate </w:t>
      </w:r>
      <w:r w:rsidDel="00000000" w:rsidR="00000000" w:rsidRPr="00000000">
        <w:rPr>
          <w:rtl w:val="0"/>
        </w:rPr>
        <w:t xml:space="preserve">&lt;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60BPM and any uterine contractions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Fetal bradycardia may be an indication of poor fetal perfusion (4)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Maternal core temperature should remain </w:t>
      </w:r>
      <w:r w:rsidDel="00000000" w:rsidR="00000000" w:rsidRPr="00000000">
        <w:rPr>
          <w:rtl w:val="0"/>
        </w:rPr>
        <w:t xml:space="preserve">&gt;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34C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Rewarming may cause fetal bradycardia, induce contractions,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premature labor. (1,2,4)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Tocolytics drugs (labor suppressants) such as magnesium sulfate or ritodrine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should be available. (4)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rPr/>
      </w:pPr>
      <w:r w:rsidDel="00000000" w:rsidR="00000000" w:rsidRPr="00000000">
        <w:rPr>
          <w:b w:val="1"/>
          <w:rtl w:val="0"/>
        </w:rPr>
        <w:t xml:space="preserve">CLINICAL ASSESSMENT/SCREENING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Contraindications: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r w:rsidDel="00000000" w:rsidR="00000000" w:rsidRPr="00000000">
        <w:rPr>
          <w:rtl w:val="0"/>
        </w:rPr>
        <w:t xml:space="preserve">RELATED DOCUMENTS: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720"/>
        <w:rPr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4">
      <w:pPr>
        <w:pStyle w:val="Heading1"/>
        <w:rPr>
          <w:b w:val="0"/>
          <w:i w:val="1"/>
          <w:color w:val="ff0000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REFERENCES: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Lynch BV, Brown DM. The manual of clinical perfusion. 2 nd ed. Fort Myers, FL: Perfusion.com,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Mongero L, Beck J. On Bypass: Advanced Perfusion Techniques. Totowa, NJ: Humana Press,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Alexis A, Origer P, Hacquebard JP, Canniere DD, Germany O, Vandenbossche JL et al. Anesthetic management of a voluminous left atrial myxoma resection in a 19 weeks pregnant with atypical clinical presentation. Case Reports in Anesthesiology. 2019; 1-6.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Hensely FA, Martin DE, Gravlee GP. A practical approach to cardiac anesthesia. 4 th ed. Philadelphia, PA: Wolters Kluwer,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DISCLAIMER:</w:t>
      </w:r>
    </w:p>
    <w:p w:rsidR="00000000" w:rsidDel="00000000" w:rsidP="00000000" w:rsidRDefault="00000000" w:rsidRPr="00000000" w14:paraId="0000005C">
      <w:pPr>
        <w:rPr>
          <w:color w:val="26282a"/>
          <w:highlight w:val="white"/>
        </w:rPr>
      </w:pPr>
      <w:r w:rsidDel="00000000" w:rsidR="00000000" w:rsidRPr="00000000">
        <w:rPr>
          <w:color w:val="26282a"/>
          <w:highlight w:val="white"/>
          <w:rtl w:val="0"/>
        </w:rPr>
        <w:t xml:space="preserve">In emergency situations, immediate life support measures of whatever appropriate nature come first with attention turning to measures described in this protocol/process as soon as possible and practical. </w:t>
      </w:r>
    </w:p>
    <w:p w:rsidR="00000000" w:rsidDel="00000000" w:rsidP="00000000" w:rsidRDefault="00000000" w:rsidRPr="00000000" w14:paraId="0000005D">
      <w:pPr>
        <w:rPr>
          <w:color w:val="26282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26282a"/>
          <w:highlight w:val="white"/>
        </w:rPr>
      </w:pPr>
      <w:r w:rsidDel="00000000" w:rsidR="00000000" w:rsidRPr="00000000">
        <w:rPr>
          <w:color w:val="26282a"/>
          <w:highlight w:val="white"/>
          <w:rtl w:val="0"/>
        </w:rPr>
        <w:t xml:space="preserve">This is a minimal protocol/process that may be exceeded at any time based on the judgment of the involved patient care personnel. </w:t>
      </w:r>
    </w:p>
    <w:p w:rsidR="00000000" w:rsidDel="00000000" w:rsidP="00000000" w:rsidRDefault="00000000" w:rsidRPr="00000000" w14:paraId="0000005F">
      <w:pPr>
        <w:rPr>
          <w:color w:val="26282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26282a"/>
          <w:highlight w:val="white"/>
        </w:rPr>
      </w:pPr>
      <w:r w:rsidDel="00000000" w:rsidR="00000000" w:rsidRPr="00000000">
        <w:rPr>
          <w:color w:val="26282a"/>
          <w:highlight w:val="white"/>
          <w:rtl w:val="0"/>
        </w:rPr>
        <w:t xml:space="preserve">This protocol/process encourages high quality patient care but observing it cannot guarantee any specific patient outcome. </w:t>
      </w:r>
    </w:p>
    <w:p w:rsidR="00000000" w:rsidDel="00000000" w:rsidP="00000000" w:rsidRDefault="00000000" w:rsidRPr="00000000" w14:paraId="00000061">
      <w:pPr>
        <w:rPr>
          <w:color w:val="26282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6"/>
          <w:szCs w:val="16"/>
        </w:rPr>
      </w:pPr>
      <w:r w:rsidDel="00000000" w:rsidR="00000000" w:rsidRPr="00000000">
        <w:rPr>
          <w:color w:val="26282a"/>
          <w:highlight w:val="white"/>
          <w:rtl w:val="0"/>
        </w:rPr>
        <w:t xml:space="preserve">This protocol/process is subject to revision from time to time, as warranted by the evolution of technology and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Lines w:val="1"/>
        <w:spacing w:after="40" w:before="40" w:lineRule="auto"/>
        <w:ind w:left="720" w:hanging="72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tabs>
          <w:tab w:val="left" w:pos="720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Review period: Review as changes occur or per institutional policy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Original hard copies and computer copies of this protocol are stored under the supervision of the Chief Perfusionist, Department of Cardiovascular Perfusion.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Documents relating to patient care standards are developed according to the accepted hospital standards.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rPr/>
      </w:pPr>
      <w:r w:rsidDel="00000000" w:rsidR="00000000" w:rsidRPr="00000000">
        <w:rPr>
          <w:rtl w:val="0"/>
        </w:rPr>
        <w:t xml:space="preserve">APPROVED BY: </w:t>
      </w:r>
      <w:r w:rsidDel="00000000" w:rsidR="00000000" w:rsidRPr="00000000">
        <w:rPr>
          <w:b w:val="0"/>
          <w:i w:val="1"/>
          <w:color w:val="ff0000"/>
          <w:rtl w:val="0"/>
        </w:rPr>
        <w:t xml:space="preserve">(signature of CMO and CNE only required)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0.0" w:type="dxa"/>
        <w:tblLayout w:type="fixed"/>
        <w:tblLook w:val="0000"/>
      </w:tblPr>
      <w:tblGrid>
        <w:gridCol w:w="2808"/>
        <w:gridCol w:w="4860"/>
        <w:gridCol w:w="736"/>
        <w:gridCol w:w="956"/>
        <w:tblGridChange w:id="0">
          <w:tblGrid>
            <w:gridCol w:w="2808"/>
            <w:gridCol w:w="4860"/>
            <w:gridCol w:w="736"/>
            <w:gridCol w:w="956"/>
          </w:tblGrid>
        </w:tblGridChange>
      </w:tblGrid>
      <w:tr>
        <w:tc>
          <w:tcPr/>
          <w:p w:rsidR="00000000" w:rsidDel="00000000" w:rsidP="00000000" w:rsidRDefault="00000000" w:rsidRPr="00000000" w14:paraId="00000069">
            <w:pPr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Source: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(originating department/committee)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Effective Date: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(can use ‘created date’ for this)</w:t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Version Number: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(should match # of revisions, use 1.0 if new document)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Date Revised: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pStyle w:val="Heading4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MM/YYYY; all dates any content changes were made</w:t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Date Reviewed: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Amb. Care PPP:</w:t>
            </w:r>
          </w:p>
          <w:p w:rsidR="00000000" w:rsidDel="00000000" w:rsidP="00000000" w:rsidRDefault="00000000" w:rsidRPr="00000000" w14:paraId="0000007B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QSOS: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&lt;Insert Name&gt;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&lt;Insert Title&gt;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&lt;Insert Name&gt;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&lt;Insert Title&gt;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&lt;Insert Name&gt;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&lt;Insert Hospital Name&gt; Chief Medical Officer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&lt;Insert Name&gt;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&lt;Insert Hospital Name&gt; Chief Nursing Executive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720" w:top="720" w:left="1440" w:right="1440" w:header="288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Noto Sans Symbols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&lt;</w:t>
    </w:r>
    <w:r w:rsidDel="00000000" w:rsidR="00000000" w:rsidRPr="00000000">
      <w:rPr>
        <w:rtl w:val="0"/>
      </w:rPr>
      <w:t xml:space="preserve">Pregnant Patient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&gt;, 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Ind w:w="0.0" w:type="dxa"/>
      <w:tblLayout w:type="fixed"/>
      <w:tblLook w:val="0000"/>
    </w:tblPr>
    <w:tblGrid>
      <w:gridCol w:w="5616"/>
      <w:gridCol w:w="429"/>
      <w:gridCol w:w="771"/>
      <w:gridCol w:w="2544"/>
      <w:tblGridChange w:id="0">
        <w:tblGrid>
          <w:gridCol w:w="5616"/>
          <w:gridCol w:w="429"/>
          <w:gridCol w:w="771"/>
          <w:gridCol w:w="2544"/>
        </w:tblGrid>
      </w:tblGridChange>
    </w:tblGrid>
    <w:tr>
      <w:trPr>
        <w:trHeight w:val="1260" w:hRule="atLeast"/>
      </w:trPr>
      <w:tc>
        <w:tcPr/>
        <w:p w:rsidR="00000000" w:rsidDel="00000000" w:rsidP="00000000" w:rsidRDefault="00000000" w:rsidRPr="00000000" w14:paraId="000000A9">
          <w:pPr>
            <w:widowControl w:val="0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jc w:val="center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0" distR="0">
                <wp:extent cx="3429000" cy="904875"/>
                <wp:effectExtent b="0" l="0" r="0" t="0"/>
                <wp:docPr descr="A picture containing knife&#10;&#10;Description automatically generated" id="5" name="image1.png"/>
                <a:graphic>
                  <a:graphicData uri="http://schemas.openxmlformats.org/drawingml/2006/picture">
                    <pic:pic>
                      <pic:nvPicPr>
                        <pic:cNvPr descr="A picture containing knife&#10;&#10;Description automatically generated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B">
          <w:pPr>
            <w:widowControl w:val="0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AC">
          <w:pPr>
            <w:keepNext w:val="1"/>
            <w:spacing w:after="60" w:lineRule="auto"/>
            <w:ind w:right="-108"/>
            <w:jc w:val="right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Departmental Clinical Protocol Manual</w:t>
          </w:r>
        </w:p>
      </w:tc>
    </w:tr>
    <w:tr>
      <w:trPr>
        <w:trHeight w:val="343" w:hRule="atLeast"/>
      </w:trPr>
      <w:tc>
        <w:tcPr>
          <w:gridSpan w:val="3"/>
          <w:tcBorders>
            <w:top w:color="000000" w:space="0" w:sz="18" w:val="single"/>
            <w:bottom w:color="000000" w:space="0" w:sz="18" w:val="single"/>
          </w:tcBorders>
        </w:tcPr>
        <w:p w:rsidR="00000000" w:rsidDel="00000000" w:rsidP="00000000" w:rsidRDefault="00000000" w:rsidRPr="00000000" w14:paraId="000000AE">
          <w:pPr>
            <w:keepNext w:val="1"/>
            <w:tabs>
              <w:tab w:val="left" w:pos="4425"/>
            </w:tabs>
            <w:spacing w:after="240" w:before="240" w:line="280" w:lineRule="auto"/>
            <w:ind w:left="-108" w:firstLine="0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Clinical Protocol                                                  </w:t>
          </w:r>
        </w:p>
      </w:tc>
      <w:tc>
        <w:tcPr>
          <w:tcBorders>
            <w:top w:color="000000" w:space="0" w:sz="18" w:val="single"/>
            <w:bottom w:color="000000" w:space="0" w:sz="18" w:val="single"/>
          </w:tcBorders>
        </w:tcPr>
        <w:p w:rsidR="00000000" w:rsidDel="00000000" w:rsidP="00000000" w:rsidRDefault="00000000" w:rsidRPr="00000000" w14:paraId="000000B1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610"/>
            </w:tabs>
            <w:spacing w:after="240" w:before="240" w:line="280" w:lineRule="auto"/>
            <w:ind w:left="0" w:right="-90" w:firstLine="0"/>
            <w:jc w:val="righ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CP.XX.xxx</w:t>
          </w:r>
        </w:p>
      </w:tc>
    </w:tr>
  </w:tbl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4">
      <w:start w:val="1"/>
      <w:numFmt w:val="bullet"/>
      <w:lvlText w:val="−"/>
      <w:lvlJc w:val="left"/>
      <w:pPr>
        <w:ind w:left="3600" w:hanging="7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7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7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72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Times New Roman" w:cs="Times New Roman" w:eastAsia="Times New Roman" w:hAnsi="Times New Roman"/>
        <w:b w:val="0"/>
        <w:i w:val="0"/>
        <w:color w:val="000000"/>
        <w:sz w:val="24"/>
        <w:szCs w:val="24"/>
      </w:rPr>
    </w:lvl>
    <w:lvl w:ilvl="4">
      <w:start w:val="1"/>
      <w:numFmt w:val="bullet"/>
      <w:lvlText w:val="−"/>
      <w:lvlJc w:val="left"/>
      <w:pPr>
        <w:ind w:left="3600" w:hanging="7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7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7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72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CG Times" w:cs="CG Times" w:eastAsia="CG Times" w:hAnsi="CG Times"/>
    </w:rPr>
  </w:style>
  <w:style w:type="paragraph" w:styleId="Heading3">
    <w:name w:val="heading 3"/>
    <w:basedOn w:val="Normal"/>
    <w:next w:val="Normal"/>
    <w:pPr>
      <w:tabs>
        <w:tab w:val="center" w:pos="4680"/>
        <w:tab w:val="right" w:pos="9360"/>
      </w:tabs>
      <w:ind w:left="1440" w:hanging="720"/>
    </w:pPr>
    <w:rPr/>
  </w:style>
  <w:style w:type="paragraph" w:styleId="Heading4">
    <w:name w:val="heading 4"/>
    <w:basedOn w:val="Normal"/>
    <w:next w:val="Normal"/>
    <w:pPr>
      <w:keepNext w:val="1"/>
    </w:pPr>
    <w:rPr>
      <w:i w:val="1"/>
      <w:color w:val="ff000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CG Times" w:cs="CG Times" w:eastAsia="CG Times" w:hAnsi="CG Times"/>
    </w:rPr>
  </w:style>
  <w:style w:type="paragraph" w:styleId="Heading3">
    <w:name w:val="heading 3"/>
    <w:basedOn w:val="Normal"/>
    <w:next w:val="Normal"/>
    <w:pPr>
      <w:tabs>
        <w:tab w:val="center" w:pos="4680"/>
        <w:tab w:val="right" w:pos="9360"/>
      </w:tabs>
      <w:ind w:left="1440" w:hanging="720"/>
    </w:pPr>
    <w:rPr/>
  </w:style>
  <w:style w:type="paragraph" w:styleId="Heading4">
    <w:name w:val="heading 4"/>
    <w:basedOn w:val="Normal"/>
    <w:next w:val="Normal"/>
    <w:pPr>
      <w:keepNext w:val="1"/>
    </w:pPr>
    <w:rPr>
      <w:i w:val="1"/>
      <w:color w:val="ff000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CG Times" w:cs="CG Times" w:eastAsia="CG Times" w:hAnsi="CG Times"/>
    </w:rPr>
  </w:style>
  <w:style w:type="paragraph" w:styleId="Heading3">
    <w:name w:val="heading 3"/>
    <w:basedOn w:val="Normal"/>
    <w:next w:val="Normal"/>
    <w:pPr>
      <w:tabs>
        <w:tab w:val="center" w:pos="4680"/>
        <w:tab w:val="right" w:pos="9360"/>
      </w:tabs>
      <w:ind w:left="1440" w:hanging="720"/>
    </w:pPr>
    <w:rPr/>
  </w:style>
  <w:style w:type="paragraph" w:styleId="Heading4">
    <w:name w:val="heading 4"/>
    <w:basedOn w:val="Normal"/>
    <w:next w:val="Normal"/>
    <w:pPr>
      <w:keepNext w:val="1"/>
    </w:pPr>
    <w:rPr>
      <w:i w:val="1"/>
      <w:color w:val="ff000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6F26"/>
    <w:pPr>
      <w:spacing w:after="0" w:line="240" w:lineRule="auto"/>
    </w:pPr>
    <w:rPr>
      <w:rFonts w:ascii="Times New Roman" w:cs="Times New Roman" w:hAnsi="Times New Roman"/>
      <w:sz w:val="24"/>
    </w:rPr>
  </w:style>
  <w:style w:type="paragraph" w:styleId="Heading1">
    <w:name w:val="heading 1"/>
    <w:aliases w:val="Policy Sections"/>
    <w:basedOn w:val="Normal"/>
    <w:next w:val="Normal"/>
    <w:link w:val="Heading1Char"/>
    <w:unhideWhenUsed w:val="1"/>
    <w:qFormat w:val="1"/>
    <w:rsid w:val="00B81ABF"/>
    <w:pPr>
      <w:spacing w:after="240" w:before="240"/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qFormat w:val="1"/>
    <w:rsid w:val="00661B8A"/>
    <w:pPr>
      <w:keepNext w:val="1"/>
      <w:outlineLvl w:val="1"/>
    </w:pPr>
    <w:rPr>
      <w:rFonts w:ascii="CG Times (WN)" w:eastAsia="Times New Roman" w:hAnsi="CG Times (WN)"/>
      <w:szCs w:val="20"/>
    </w:rPr>
  </w:style>
  <w:style w:type="paragraph" w:styleId="Heading3">
    <w:name w:val="heading 3"/>
    <w:aliases w:val="References"/>
    <w:basedOn w:val="Header"/>
    <w:next w:val="Normal"/>
    <w:link w:val="Heading3Char"/>
    <w:uiPriority w:val="9"/>
    <w:unhideWhenUsed w:val="1"/>
    <w:qFormat w:val="1"/>
    <w:rsid w:val="0016021C"/>
    <w:pPr>
      <w:tabs>
        <w:tab w:val="clear" w:pos="4680"/>
        <w:tab w:val="clear" w:pos="9360"/>
      </w:tabs>
      <w:ind w:left="144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FE650D"/>
    <w:pPr>
      <w:keepNext w:val="1"/>
      <w:outlineLvl w:val="3"/>
    </w:pPr>
    <w:rPr>
      <w:rFonts w:eastAsia="Times New Roman"/>
      <w:i w:val="1"/>
      <w:color w:val="ff000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8553E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8553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38553E"/>
    <w:pPr>
      <w:keepNext w:val="1"/>
      <w:tabs>
        <w:tab w:val="left" w:pos="4610"/>
      </w:tabs>
      <w:spacing w:after="240" w:before="240" w:line="280" w:lineRule="exact"/>
      <w:ind w:right="-90"/>
      <w:jc w:val="right"/>
      <w:outlineLvl w:val="6"/>
    </w:pPr>
    <w:rPr>
      <w:rFonts w:eastAsia="Times New Roman"/>
      <w:b w:val="1"/>
      <w:bCs w:val="1"/>
      <w:iCs w:val="1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454EF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9454EF"/>
    <w:pPr>
      <w:keepNext w:val="1"/>
      <w:framePr w:lines="0" w:hSpace="180" w:wrap="around" w:hAnchor="margin" w:vAnchor="text" w:y="50"/>
      <w:outlineLvl w:val="8"/>
    </w:pPr>
    <w:rPr>
      <w:i w:val="1"/>
      <w:szCs w:val="24"/>
      <w:lang w:val="nl-N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56F26"/>
    <w:pPr>
      <w:ind w:left="720"/>
      <w:contextualSpacing w:val="1"/>
    </w:pPr>
  </w:style>
  <w:style w:type="paragraph" w:styleId="PolicyOutline" w:customStyle="1">
    <w:name w:val="Policy Outline"/>
    <w:basedOn w:val="ListParagraph"/>
    <w:qFormat w:val="1"/>
    <w:rsid w:val="00A23EE4"/>
    <w:pPr>
      <w:numPr>
        <w:numId w:val="6"/>
      </w:numPr>
      <w:spacing w:after="240" w:before="240"/>
      <w:contextualSpacing w:val="0"/>
    </w:pPr>
  </w:style>
  <w:style w:type="character" w:styleId="IntenseReference">
    <w:name w:val="Intense Reference"/>
    <w:basedOn w:val="DefaultParagraphFont"/>
    <w:uiPriority w:val="32"/>
    <w:rsid w:val="00EF36E8"/>
    <w:rPr>
      <w:b w:val="1"/>
      <w:bCs w:val="1"/>
      <w:smallCaps w:val="1"/>
      <w:color w:val="4f81bd" w:themeColor="accent1"/>
      <w:spacing w:val="5"/>
    </w:rPr>
  </w:style>
  <w:style w:type="character" w:styleId="Heading1Char" w:customStyle="1">
    <w:name w:val="Heading 1 Char"/>
    <w:aliases w:val="Policy Sections Char"/>
    <w:basedOn w:val="DefaultParagraphFont"/>
    <w:link w:val="Heading1"/>
    <w:rsid w:val="00B81ABF"/>
    <w:rPr>
      <w:rFonts w:ascii="Times New Roman" w:cs="Times New Roman" w:hAnsi="Times New Roman"/>
      <w:b w:val="1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661B8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1B8A"/>
    <w:rPr>
      <w:rFonts w:ascii="Times New Roman" w:cs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661B8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1B8A"/>
    <w:rPr>
      <w:rFonts w:ascii="Times New Roman" w:cs="Times New Roman" w:hAnsi="Times New Roman"/>
      <w:sz w:val="24"/>
    </w:rPr>
  </w:style>
  <w:style w:type="character" w:styleId="Heading2Char" w:customStyle="1">
    <w:name w:val="Heading 2 Char"/>
    <w:basedOn w:val="DefaultParagraphFont"/>
    <w:link w:val="Heading2"/>
    <w:rsid w:val="00661B8A"/>
    <w:rPr>
      <w:rFonts w:ascii="CG Times (WN)" w:cs="Times New Roman" w:eastAsia="Times New Roman" w:hAnsi="CG Times (WN)"/>
      <w:sz w:val="24"/>
      <w:szCs w:val="20"/>
    </w:rPr>
  </w:style>
  <w:style w:type="character" w:styleId="Heading3Char" w:customStyle="1">
    <w:name w:val="Heading 3 Char"/>
    <w:aliases w:val="References Char"/>
    <w:basedOn w:val="DefaultParagraphFont"/>
    <w:link w:val="Heading3"/>
    <w:uiPriority w:val="9"/>
    <w:rsid w:val="0016021C"/>
    <w:rPr>
      <w:rFonts w:ascii="Times New Roman" w:cs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E650D"/>
    <w:rPr>
      <w:rFonts w:ascii="Times New Roman" w:cs="Times New Roman" w:eastAsia="Times New Roman" w:hAnsi="Times New Roman"/>
      <w:i w:val="1"/>
      <w:color w:val="ff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 w:val="1"/>
    <w:rsid w:val="00FE650D"/>
    <w:rPr>
      <w:i w:val="1"/>
      <w:color w:val="ff0000"/>
    </w:rPr>
  </w:style>
  <w:style w:type="character" w:styleId="BodyTextChar" w:customStyle="1">
    <w:name w:val="Body Text Char"/>
    <w:basedOn w:val="DefaultParagraphFont"/>
    <w:link w:val="BodyText"/>
    <w:uiPriority w:val="99"/>
    <w:rsid w:val="00FE650D"/>
    <w:rPr>
      <w:rFonts w:ascii="Times New Roman" w:cs="Times New Roman" w:hAnsi="Times New Roman"/>
      <w:i w:val="1"/>
      <w:color w:val="ff000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8553E"/>
    <w:rPr>
      <w:rFonts w:asciiTheme="majorHAnsi" w:cstheme="majorBidi" w:eastAsiaTheme="majorEastAsia" w:hAnsiTheme="majorHAnsi"/>
      <w:color w:val="365f91" w:themeColor="accent1" w:themeShade="0000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8553E"/>
    <w:rPr>
      <w:rFonts w:asciiTheme="majorHAnsi" w:cstheme="majorBidi" w:eastAsiaTheme="majorEastAsia" w:hAnsiTheme="majorHAnsi"/>
      <w:color w:val="243f60" w:themeColor="accent1" w:themeShade="00007F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38553E"/>
    <w:rPr>
      <w:rFonts w:ascii="Times New Roman" w:cs="Times New Roman" w:eastAsia="Times New Roman" w:hAnsi="Times New Roman"/>
      <w:b w:val="1"/>
      <w:bCs w:val="1"/>
      <w:iCs w:val="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04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040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04046"/>
    <w:rPr>
      <w:rFonts w:ascii="Times New Roman" w:cs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0404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04046"/>
    <w:rPr>
      <w:rFonts w:ascii="Times New Roman" w:cs="Times New Roman" w:hAnsi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404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4046"/>
    <w:rPr>
      <w:rFonts w:ascii="Segoe UI" w:cs="Segoe UI" w:hAnsi="Segoe UI"/>
      <w:sz w:val="18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454EF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9454EF"/>
    <w:rPr>
      <w:rFonts w:ascii="Times New Roman" w:cs="Times New Roman" w:hAnsi="Times New Roman"/>
      <w:i w:val="1"/>
      <w:sz w:val="24"/>
      <w:szCs w:val="24"/>
      <w:lang w:val="nl-NL"/>
    </w:rPr>
  </w:style>
  <w:style w:type="character" w:styleId="Hyperlink">
    <w:name w:val="Hyperlink"/>
    <w:basedOn w:val="DefaultParagraphFont"/>
    <w:uiPriority w:val="99"/>
    <w:unhideWhenUsed w:val="1"/>
    <w:rsid w:val="00023B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23B0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93zBUbK9fWcor4FQUVqjIpXUpg==">AMUW2mUnZ4f/Kb7yJc7Rs+l8by/UEOGsxcC3CrwXSZWTiYUFmmud3XZNHdLQM3RyRmMGvzzuUYi8P0Tb18CZ7e39Qmfe4stBPT6svSdE3axy3FF0lvBzDBOwagI51FrAOpW16cHkscSc9O02ZmqE4lYTG5k2yPyKpcRxm1PCO3nQ52WQehMvGsck5pYF3G/dJ0x/yHFeDLRd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2020-07-27T17:18:00Z</dcterms:created>
  <dc:creator>Helmick, Shahna 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0x0101004989281822E0D845A9CE63CC5ECA5922</vt:lpwstr>
  </property>
</Properties>
</file>