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*The intent of this product is to be a resource; not a replacement for institutional protocols. Standard 1 of AmSECT’s Standards and Guidelines for Perfusion Practice.</w:t>
      </w:r>
      <w:r w:rsidDel="00000000" w:rsidR="00000000" w:rsidRPr="00000000">
        <w:rPr>
          <w:sz w:val="20"/>
          <w:szCs w:val="20"/>
          <w:vertAlign w:val="superscript"/>
          <w:rtl w:val="0"/>
        </w:rPr>
        <w:t xml:space="preserve">1 </w:t>
      </w:r>
      <w:r w:rsidDel="00000000" w:rsidR="00000000" w:rsidRPr="00000000">
        <w:rPr>
          <w:sz w:val="20"/>
          <w:szCs w:val="20"/>
          <w:rtl w:val="0"/>
        </w:rPr>
        <w:t xml:space="preserve">These Standards and Guidelines may also be superseded by the judgement of the healthcare professional taking into account the facts and circumstances of the individual case.</w:t>
      </w:r>
    </w:p>
    <w:p w:rsidR="00000000" w:rsidDel="00000000" w:rsidP="00000000" w:rsidRDefault="00000000" w:rsidRPr="00000000" w14:paraId="00000002">
      <w:pPr>
        <w:rPr/>
      </w:pPr>
      <w:r w:rsidDel="00000000" w:rsidR="00000000" w:rsidRPr="00000000">
        <w:rPr>
          <w:rtl w:val="0"/>
        </w:rPr>
      </w:r>
    </w:p>
    <w:tbl>
      <w:tblPr>
        <w:tblStyle w:val="Table1"/>
        <w:tblW w:w="9360.0" w:type="dxa"/>
        <w:jc w:val="left"/>
        <w:tblInd w:w="0.0" w:type="dxa"/>
        <w:tblLayout w:type="fixed"/>
        <w:tblLook w:val="0000"/>
      </w:tblPr>
      <w:tblGrid>
        <w:gridCol w:w="2069"/>
        <w:gridCol w:w="811"/>
        <w:gridCol w:w="6480"/>
        <w:tblGridChange w:id="0">
          <w:tblGrid>
            <w:gridCol w:w="2069"/>
            <w:gridCol w:w="811"/>
            <w:gridCol w:w="6480"/>
          </w:tblGrid>
        </w:tblGridChange>
      </w:tblGrid>
      <w:tr>
        <w:trPr>
          <w:trHeight w:val="238" w:hRule="atLeast"/>
        </w:trPr>
        <w:tc>
          <w:tcPr/>
          <w:p w:rsidR="00000000" w:rsidDel="00000000" w:rsidP="00000000" w:rsidRDefault="00000000" w:rsidRPr="00000000" w14:paraId="00000003">
            <w:pPr>
              <w:ind w:left="-108" w:firstLine="0"/>
              <w:rPr>
                <w:b w:val="1"/>
              </w:rPr>
            </w:pPr>
            <w:r w:rsidDel="00000000" w:rsidR="00000000" w:rsidRPr="00000000">
              <w:rPr>
                <w:b w:val="1"/>
                <w:rtl w:val="0"/>
              </w:rPr>
              <w:t xml:space="preserve">SUBJECT/TITLE</w:t>
            </w:r>
          </w:p>
        </w:tc>
        <w:tc>
          <w:tcPr>
            <w:gridSpan w:val="2"/>
          </w:tcPr>
          <w:p w:rsidR="00000000" w:rsidDel="00000000" w:rsidP="00000000" w:rsidRDefault="00000000" w:rsidRPr="00000000" w14:paraId="00000004">
            <w:pPr>
              <w:rPr>
                <w:b w:val="1"/>
              </w:rPr>
            </w:pPr>
            <w:r w:rsidDel="00000000" w:rsidR="00000000" w:rsidRPr="00000000">
              <w:rPr>
                <w:b w:val="1"/>
                <w:rtl w:val="0"/>
              </w:rPr>
              <w:t xml:space="preserve">COLD AGGLUTININS </w:t>
            </w:r>
          </w:p>
        </w:tc>
      </w:tr>
      <w:tr>
        <w:trPr>
          <w:trHeight w:val="238" w:hRule="atLeast"/>
        </w:trPr>
        <w:tc>
          <w:tcPr/>
          <w:p w:rsidR="00000000" w:rsidDel="00000000" w:rsidP="00000000" w:rsidRDefault="00000000" w:rsidRPr="00000000" w14:paraId="00000006">
            <w:pPr>
              <w:ind w:left="-108" w:firstLine="0"/>
              <w:rPr>
                <w:b w:val="1"/>
              </w:rPr>
            </w:pPr>
            <w:r w:rsidDel="00000000" w:rsidR="00000000" w:rsidRPr="00000000">
              <w:rPr>
                <w:rtl w:val="0"/>
              </w:rPr>
            </w:r>
          </w:p>
        </w:tc>
        <w:tc>
          <w:tcPr/>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r>
          </w:p>
        </w:tc>
      </w:tr>
      <w:tr>
        <w:trPr>
          <w:trHeight w:val="238" w:hRule="atLeast"/>
        </w:trPr>
        <w:tc>
          <w:tcPr/>
          <w:p w:rsidR="00000000" w:rsidDel="00000000" w:rsidP="00000000" w:rsidRDefault="00000000" w:rsidRPr="00000000" w14:paraId="00000009">
            <w:pPr>
              <w:ind w:left="-108" w:firstLine="0"/>
              <w:rPr>
                <w:b w:val="1"/>
              </w:rPr>
            </w:pPr>
            <w:r w:rsidDel="00000000" w:rsidR="00000000" w:rsidRPr="00000000">
              <w:rPr>
                <w:b w:val="1"/>
                <w:rtl w:val="0"/>
              </w:rPr>
              <w:t xml:space="preserve">PURPOSE:</w:t>
            </w:r>
          </w:p>
        </w:tc>
        <w:tc>
          <w:tcPr>
            <w:gridSpan w:val="2"/>
          </w:tcPr>
          <w:p w:rsidR="00000000" w:rsidDel="00000000" w:rsidP="00000000" w:rsidRDefault="00000000" w:rsidRPr="00000000" w14:paraId="0000000A">
            <w:pPr>
              <w:pStyle w:val="Heading4"/>
              <w:rPr>
                <w:i w:val="0"/>
                <w:color w:val="000000"/>
              </w:rPr>
            </w:pPr>
            <w:bookmarkStart w:colFirst="0" w:colLast="0" w:name="_6237ttle8rgk" w:id="0"/>
            <w:bookmarkEnd w:id="0"/>
            <w:r w:rsidDel="00000000" w:rsidR="00000000" w:rsidRPr="00000000">
              <w:rPr>
                <w:i w:val="0"/>
                <w:color w:val="000000"/>
                <w:rtl w:val="0"/>
              </w:rPr>
              <w:t xml:space="preserve">To provide a guideline and resource on the diagnosis and</w:t>
            </w:r>
          </w:p>
          <w:p w:rsidR="00000000" w:rsidDel="00000000" w:rsidP="00000000" w:rsidRDefault="00000000" w:rsidRPr="00000000" w14:paraId="0000000B">
            <w:pPr>
              <w:pStyle w:val="Heading4"/>
              <w:rPr>
                <w:i w:val="0"/>
                <w:color w:val="000000"/>
              </w:rPr>
            </w:pPr>
            <w:bookmarkStart w:colFirst="0" w:colLast="0" w:name="_10wfenecf15o" w:id="1"/>
            <w:bookmarkEnd w:id="1"/>
            <w:r w:rsidDel="00000000" w:rsidR="00000000" w:rsidRPr="00000000">
              <w:rPr>
                <w:i w:val="0"/>
                <w:color w:val="000000"/>
                <w:rtl w:val="0"/>
              </w:rPr>
              <w:t xml:space="preserve">treatment of patients with cold agglutinins disease.</w:t>
            </w:r>
          </w:p>
        </w:tc>
      </w:tr>
      <w:tr>
        <w:trPr>
          <w:trHeight w:val="238" w:hRule="atLeast"/>
        </w:trPr>
        <w:tc>
          <w:tcPr/>
          <w:p w:rsidR="00000000" w:rsidDel="00000000" w:rsidP="00000000" w:rsidRDefault="00000000" w:rsidRPr="00000000" w14:paraId="0000000D">
            <w:pPr>
              <w:ind w:left="-108" w:firstLine="0"/>
              <w:rPr>
                <w:b w:val="1"/>
              </w:rPr>
            </w:pP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r>
          </w:p>
        </w:tc>
      </w:tr>
      <w:tr>
        <w:trPr>
          <w:trHeight w:val="477" w:hRule="atLeast"/>
        </w:trPr>
        <w:tc>
          <w:tcPr/>
          <w:p w:rsidR="00000000" w:rsidDel="00000000" w:rsidP="00000000" w:rsidRDefault="00000000" w:rsidRPr="00000000" w14:paraId="00000010">
            <w:pPr>
              <w:widowControl w:val="0"/>
              <w:tabs>
                <w:tab w:val="left" w:pos="576"/>
              </w:tabs>
              <w:ind w:left="-108" w:firstLine="0"/>
              <w:rPr>
                <w:b w:val="1"/>
              </w:rPr>
            </w:pPr>
            <w:r w:rsidDel="00000000" w:rsidR="00000000" w:rsidRPr="00000000">
              <w:rPr>
                <w:b w:val="1"/>
                <w:rtl w:val="0"/>
              </w:rPr>
              <w:t xml:space="preserve">TARGET POPULATION:</w:t>
            </w:r>
          </w:p>
        </w:tc>
        <w:tc>
          <w:tcPr>
            <w:gridSpan w:val="2"/>
          </w:tcPr>
          <w:p w:rsidR="00000000" w:rsidDel="00000000" w:rsidP="00000000" w:rsidRDefault="00000000" w:rsidRPr="00000000" w14:paraId="00000011">
            <w:pPr>
              <w:rPr/>
            </w:pPr>
            <w:r w:rsidDel="00000000" w:rsidR="00000000" w:rsidRPr="00000000">
              <w:rPr>
                <w:rtl w:val="0"/>
              </w:rPr>
              <w:t xml:space="preserve">Patients with cold agglutinins disease.</w:t>
            </w:r>
          </w:p>
        </w:tc>
      </w:tr>
      <w:tr>
        <w:trPr>
          <w:trHeight w:val="238" w:hRule="atLeast"/>
        </w:trPr>
        <w:tc>
          <w:tcPr/>
          <w:p w:rsidR="00000000" w:rsidDel="00000000" w:rsidP="00000000" w:rsidRDefault="00000000" w:rsidRPr="00000000" w14:paraId="00000013">
            <w:pPr>
              <w:ind w:left="-108" w:firstLine="0"/>
              <w:rPr>
                <w:b w:val="1"/>
              </w:rPr>
            </w:pPr>
            <w:r w:rsidDel="00000000" w:rsidR="00000000" w:rsidRPr="00000000">
              <w:rPr>
                <w:rtl w:val="0"/>
              </w:rPr>
            </w:r>
          </w:p>
        </w:tc>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r>
      <w:tr>
        <w:trPr>
          <w:trHeight w:val="2190" w:hRule="atLeast"/>
        </w:trPr>
        <w:tc>
          <w:tcPr/>
          <w:p w:rsidR="00000000" w:rsidDel="00000000" w:rsidP="00000000" w:rsidRDefault="00000000" w:rsidRPr="00000000" w14:paraId="00000016">
            <w:pPr>
              <w:ind w:left="-108" w:firstLine="0"/>
              <w:rPr>
                <w:b w:val="1"/>
              </w:rPr>
            </w:pPr>
            <w:r w:rsidDel="00000000" w:rsidR="00000000" w:rsidRPr="00000000">
              <w:rPr>
                <w:b w:val="1"/>
                <w:rtl w:val="0"/>
              </w:rPr>
              <w:t xml:space="preserve">DEFINITIONS:</w:t>
            </w:r>
          </w:p>
        </w:tc>
        <w:tc>
          <w:tcPr>
            <w:gridSpan w:val="2"/>
          </w:tcPr>
          <w:p w:rsidR="00000000" w:rsidDel="00000000" w:rsidP="00000000" w:rsidRDefault="00000000" w:rsidRPr="00000000" w14:paraId="00000017">
            <w:pPr>
              <w:rPr/>
            </w:pPr>
            <w:r w:rsidDel="00000000" w:rsidR="00000000" w:rsidRPr="00000000">
              <w:rPr>
                <w:rtl w:val="0"/>
              </w:rPr>
              <w:t xml:space="preserve">Cold agglutinins is an autoimmune disease characterized by the reaction of serum antibodies with antigens on the surface of red blood cells at cold temperatures.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Pathophysiology of the disease is temperature dependent but can occur at any temperature below 37 degrees Celsius.</w:t>
            </w:r>
          </w:p>
          <w:p w:rsidR="00000000" w:rsidDel="00000000" w:rsidP="00000000" w:rsidRDefault="00000000" w:rsidRPr="00000000" w14:paraId="0000001A">
            <w:pPr>
              <w:rPr/>
            </w:pPr>
            <w:r w:rsidDel="00000000" w:rsidR="00000000" w:rsidRPr="00000000">
              <w:rPr>
                <w:rtl w:val="0"/>
              </w:rPr>
              <w:t xml:space="preserve">Agglutination is dependent on two factors:</w:t>
            </w:r>
          </w:p>
          <w:p w:rsidR="00000000" w:rsidDel="00000000" w:rsidP="00000000" w:rsidRDefault="00000000" w:rsidRPr="00000000" w14:paraId="0000001B">
            <w:pPr>
              <w:rPr/>
            </w:pPr>
            <w:r w:rsidDel="00000000" w:rsidR="00000000" w:rsidRPr="00000000">
              <w:rPr>
                <w:rtl w:val="0"/>
              </w:rPr>
              <w:t xml:space="preserve">● the concentration of the specific antibody</w:t>
            </w:r>
          </w:p>
          <w:p w:rsidR="00000000" w:rsidDel="00000000" w:rsidP="00000000" w:rsidRDefault="00000000" w:rsidRPr="00000000" w14:paraId="0000001C">
            <w:pPr>
              <w:rPr/>
            </w:pPr>
            <w:r w:rsidDel="00000000" w:rsidR="00000000" w:rsidRPr="00000000">
              <w:rPr>
                <w:rtl w:val="0"/>
              </w:rPr>
              <w:t xml:space="preserve">● the temperature at which agglutination occurs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Once the blood temperature goes below the thermal amplitude, it causes activation of the autoantibodies. Once the antibodies are activated, they bind to red blood cells initiating the complement pathway of the coagulation cascade.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Agglutination and hemolysis can have catastrophic consequences on and off CPB including myocardial infarction, renal failure, hemolytic anemia, and thrombosis.</w:t>
            </w:r>
          </w:p>
        </w:tc>
      </w:tr>
      <w:tr>
        <w:trPr>
          <w:trHeight w:val="101" w:hRule="atLeast"/>
        </w:trPr>
        <w:tc>
          <w:tcPr/>
          <w:p w:rsidR="00000000" w:rsidDel="00000000" w:rsidP="00000000" w:rsidRDefault="00000000" w:rsidRPr="00000000" w14:paraId="00000022">
            <w:pPr>
              <w:rPr>
                <w:b w:val="1"/>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r>
    </w:tb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POLICY: </w:t>
      </w:r>
    </w:p>
    <w:p w:rsidR="00000000" w:rsidDel="00000000" w:rsidP="00000000" w:rsidRDefault="00000000" w:rsidRPr="00000000" w14:paraId="0000002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tl w:val="0"/>
        </w:rPr>
        <w:t xml:space="preserve">Cold agglutinins is a very rare, yet very serious patient condition in which the perfusionist must make modifications to standard CPB practices in order to improve patient care. </w:t>
      </w:r>
    </w:p>
    <w:p w:rsidR="00000000" w:rsidDel="00000000" w:rsidP="00000000" w:rsidRDefault="00000000" w:rsidRPr="00000000" w14:paraId="0000002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tl w:val="0"/>
        </w:rPr>
        <w:t xml:space="preserve">Whether a diagnosis of cold agglutinins is made prior to surgery or the presence of agglutinins is observed unexpectedly during the case, the perfusionist should communicate his/her observations to the heart team and the surgeon will determine the plan of action.</w:t>
      </w:r>
    </w:p>
    <w:p w:rsidR="00000000" w:rsidDel="00000000" w:rsidP="00000000" w:rsidRDefault="00000000" w:rsidRPr="00000000" w14:paraId="00000028">
      <w:pPr>
        <w:tabs>
          <w:tab w:val="left" w:pos="-1440"/>
        </w:tabs>
        <w:ind w:left="0" w:firstLine="0"/>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PROCEDURE: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pPr>
      <w:r w:rsidDel="00000000" w:rsidR="00000000" w:rsidRPr="00000000">
        <w:rPr>
          <w:rtl w:val="0"/>
        </w:rPr>
        <w:t xml:space="preserve">If the presence of cold agglutinins is determined preoperatively, then consider the following:</w:t>
      </w:r>
    </w:p>
    <w:p w:rsidR="00000000" w:rsidDel="00000000" w:rsidP="00000000" w:rsidRDefault="00000000" w:rsidRPr="00000000" w14:paraId="0000002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tl w:val="0"/>
        </w:rPr>
        <w:t xml:space="preserve">Careful intraoperative temperature monitoring to include core (bladder or rectal), nasopharyngeal, skin </w:t>
      </w:r>
    </w:p>
    <w:p w:rsidR="00000000" w:rsidDel="00000000" w:rsidP="00000000" w:rsidRDefault="00000000" w:rsidRPr="00000000" w14:paraId="0000002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During CPB: arterial and venous blood, cardioplegia, myocardium.</w:t>
      </w:r>
    </w:p>
    <w:p w:rsidR="00000000" w:rsidDel="00000000" w:rsidP="00000000" w:rsidRDefault="00000000" w:rsidRPr="00000000" w14:paraId="0000002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Maintenance of patient temperature above activation thermal threshold</w:t>
      </w:r>
    </w:p>
    <w:p w:rsidR="00000000" w:rsidDel="00000000" w:rsidP="00000000" w:rsidRDefault="00000000" w:rsidRPr="00000000" w14:paraId="0000002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Warm operating room</w:t>
      </w:r>
    </w:p>
    <w:p w:rsidR="00000000" w:rsidDel="00000000" w:rsidP="00000000" w:rsidRDefault="00000000" w:rsidRPr="00000000" w14:paraId="0000002F">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Warm all fluids and anesthetic gases.</w:t>
      </w:r>
    </w:p>
    <w:p w:rsidR="00000000" w:rsidDel="00000000" w:rsidP="00000000" w:rsidRDefault="00000000" w:rsidRPr="00000000" w14:paraId="00000030">
      <w:pPr>
        <w:numPr>
          <w:ilvl w:val="1"/>
          <w:numId w:val="7"/>
        </w:numPr>
        <w:spacing w:after="0" w:before="0" w:lineRule="auto"/>
        <w:ind w:left="1440" w:hanging="360"/>
        <w:rPr/>
      </w:pPr>
      <w:r w:rsidDel="00000000" w:rsidR="00000000" w:rsidRPr="00000000">
        <w:rPr>
          <w:rtl w:val="0"/>
        </w:rPr>
        <w:t xml:space="preserve">Normothermic or mild hypothermia during CPB</w:t>
      </w:r>
    </w:p>
    <w:p w:rsidR="00000000" w:rsidDel="00000000" w:rsidP="00000000" w:rsidRDefault="00000000" w:rsidRPr="00000000" w14:paraId="00000031">
      <w:pPr>
        <w:numPr>
          <w:ilvl w:val="0"/>
          <w:numId w:val="7"/>
        </w:numPr>
        <w:spacing w:after="0" w:before="0" w:lineRule="auto"/>
        <w:ind w:left="720" w:hanging="360"/>
        <w:rPr/>
      </w:pPr>
      <w:r w:rsidDel="00000000" w:rsidR="00000000" w:rsidRPr="00000000">
        <w:rPr>
          <w:rtl w:val="0"/>
        </w:rPr>
        <w:t xml:space="preserve">Myocardial Protection Techniques:</w:t>
      </w:r>
    </w:p>
    <w:p w:rsidR="00000000" w:rsidDel="00000000" w:rsidP="00000000" w:rsidRDefault="00000000" w:rsidRPr="00000000" w14:paraId="00000032">
      <w:pPr>
        <w:numPr>
          <w:ilvl w:val="1"/>
          <w:numId w:val="7"/>
        </w:numPr>
        <w:spacing w:after="0" w:before="0" w:lineRule="auto"/>
        <w:ind w:left="1440" w:hanging="360"/>
        <w:rPr/>
      </w:pPr>
      <w:r w:rsidDel="00000000" w:rsidR="00000000" w:rsidRPr="00000000">
        <w:rPr>
          <w:rtl w:val="0"/>
        </w:rPr>
        <w:t xml:space="preserve">Cold crystalloid solution (see below)</w:t>
      </w:r>
    </w:p>
    <w:p w:rsidR="00000000" w:rsidDel="00000000" w:rsidP="00000000" w:rsidRDefault="00000000" w:rsidRPr="00000000" w14:paraId="00000033">
      <w:pPr>
        <w:numPr>
          <w:ilvl w:val="1"/>
          <w:numId w:val="7"/>
        </w:numPr>
        <w:spacing w:after="0" w:before="0" w:lineRule="auto"/>
        <w:ind w:left="1440" w:hanging="360"/>
        <w:rPr/>
      </w:pPr>
      <w:r w:rsidDel="00000000" w:rsidR="00000000" w:rsidRPr="00000000">
        <w:rPr>
          <w:rtl w:val="0"/>
        </w:rPr>
        <w:t xml:space="preserve">V-Fib with continuous perfusion</w:t>
      </w:r>
    </w:p>
    <w:p w:rsidR="00000000" w:rsidDel="00000000" w:rsidP="00000000" w:rsidRDefault="00000000" w:rsidRPr="00000000" w14:paraId="000000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Warm Continuous Cardioplegia</w:t>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 extreme cases:</w:t>
      </w:r>
    </w:p>
    <w:p w:rsidR="00000000" w:rsidDel="00000000" w:rsidP="00000000" w:rsidRDefault="00000000" w:rsidRPr="00000000" w14:paraId="00000036">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tl w:val="0"/>
        </w:rPr>
        <w:t xml:space="preserve">Preoperative plasma exchange (plasmapheresis)</w:t>
      </w:r>
    </w:p>
    <w:p w:rsidR="00000000" w:rsidDel="00000000" w:rsidP="00000000" w:rsidRDefault="00000000" w:rsidRPr="00000000" w14:paraId="00000037">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pPr>
      <w:r w:rsidDel="00000000" w:rsidR="00000000" w:rsidRPr="00000000">
        <w:rPr>
          <w:rtl w:val="0"/>
        </w:rPr>
        <w:t xml:space="preserve">Total body washout and/or exchange transfusion</w:t>
      </w:r>
    </w:p>
    <w:p w:rsidR="00000000" w:rsidDel="00000000" w:rsidP="00000000" w:rsidRDefault="00000000" w:rsidRPr="00000000" w14:paraId="00000038">
      <w:pPr>
        <w:spacing w:after="200" w:line="276" w:lineRule="auto"/>
        <w:rPr>
          <w:color w:val="ff0000"/>
        </w:rPr>
      </w:pPr>
      <w:r w:rsidDel="00000000" w:rsidR="00000000" w:rsidRPr="00000000">
        <w:rPr>
          <w:b w:val="1"/>
          <w:rtl w:val="0"/>
        </w:rPr>
        <w:t xml:space="preserve">Crystalloid Cardioplegia </w:t>
      </w:r>
      <w:r w:rsidDel="00000000" w:rsidR="00000000" w:rsidRPr="00000000">
        <w:rPr>
          <w:b w:val="1"/>
          <w:rtl w:val="0"/>
        </w:rPr>
        <w:t xml:space="preserve">Delivery</w:t>
      </w:r>
      <w:r w:rsidDel="00000000" w:rsidR="00000000" w:rsidRPr="00000000">
        <w:rPr>
          <w:rtl w:val="0"/>
        </w:rPr>
        <w:t xml:space="preserve">:</w:t>
      </w:r>
      <w:r w:rsidDel="00000000" w:rsidR="00000000" w:rsidRPr="00000000">
        <w:rPr>
          <w:rtl w:val="0"/>
        </w:rPr>
        <w:t xml:space="preserve"> utilize a setup that allows switching between blood and crystalloid solution and hot/cold delivery options.</w:t>
      </w:r>
      <w:r w:rsidDel="00000000" w:rsidR="00000000" w:rsidRPr="00000000">
        <w:rPr>
          <w:rtl w:val="0"/>
        </w:rPr>
      </w:r>
    </w:p>
    <w:p w:rsidR="00000000" w:rsidDel="00000000" w:rsidP="00000000" w:rsidRDefault="00000000" w:rsidRPr="00000000" w14:paraId="00000039">
      <w:pPr>
        <w:numPr>
          <w:ilvl w:val="0"/>
          <w:numId w:val="5"/>
        </w:numPr>
        <w:tabs>
          <w:tab w:val="left" w:pos="-1440"/>
        </w:tabs>
        <w:ind w:left="720" w:hanging="360"/>
        <w:rPr/>
      </w:pPr>
      <w:r w:rsidDel="00000000" w:rsidR="00000000" w:rsidRPr="00000000">
        <w:rPr>
          <w:rtl w:val="0"/>
        </w:rPr>
        <w:t xml:space="preserve">Prime cardioplegia circuit with crystalloid according to your Policy and Procedure </w:t>
      </w:r>
    </w:p>
    <w:p w:rsidR="00000000" w:rsidDel="00000000" w:rsidP="00000000" w:rsidRDefault="00000000" w:rsidRPr="00000000" w14:paraId="0000003A">
      <w:pPr>
        <w:numPr>
          <w:ilvl w:val="0"/>
          <w:numId w:val="5"/>
        </w:numPr>
        <w:tabs>
          <w:tab w:val="left" w:pos="-1440"/>
        </w:tabs>
        <w:ind w:left="720" w:hanging="360"/>
        <w:rPr/>
      </w:pPr>
      <w:r w:rsidDel="00000000" w:rsidR="00000000" w:rsidRPr="00000000">
        <w:rPr>
          <w:rtl w:val="0"/>
        </w:rPr>
        <w:t xml:space="preserve">Isolate cardioplegia circuit to deliver only crystalloid.</w:t>
      </w:r>
    </w:p>
    <w:p w:rsidR="00000000" w:rsidDel="00000000" w:rsidP="00000000" w:rsidRDefault="00000000" w:rsidRPr="00000000" w14:paraId="0000003B">
      <w:pPr>
        <w:numPr>
          <w:ilvl w:val="0"/>
          <w:numId w:val="5"/>
        </w:numPr>
        <w:tabs>
          <w:tab w:val="left" w:pos="-1440"/>
        </w:tabs>
        <w:ind w:left="720" w:hanging="360"/>
        <w:rPr/>
      </w:pPr>
      <w:r w:rsidDel="00000000" w:rsidR="00000000" w:rsidRPr="00000000">
        <w:rPr>
          <w:rtl w:val="0"/>
        </w:rPr>
        <w:t xml:space="preserve">Prime and de-bubble cardioplegia delivery system and bridge.</w:t>
      </w:r>
    </w:p>
    <w:p w:rsidR="00000000" w:rsidDel="00000000" w:rsidP="00000000" w:rsidRDefault="00000000" w:rsidRPr="00000000" w14:paraId="0000003C">
      <w:pPr>
        <w:numPr>
          <w:ilvl w:val="0"/>
          <w:numId w:val="5"/>
        </w:numPr>
        <w:tabs>
          <w:tab w:val="left" w:pos="-1440"/>
        </w:tabs>
        <w:ind w:left="720" w:hanging="360"/>
        <w:rPr/>
      </w:pPr>
      <w:r w:rsidDel="00000000" w:rsidR="00000000" w:rsidRPr="00000000">
        <w:rPr>
          <w:rtl w:val="0"/>
        </w:rPr>
        <w:t xml:space="preserve">Administer 250-300 ml WARM high potassium CRYSTALLOID CARDIOPLEGIA to flush blood out of the coronaries.</w:t>
      </w:r>
    </w:p>
    <w:p w:rsidR="00000000" w:rsidDel="00000000" w:rsidP="00000000" w:rsidRDefault="00000000" w:rsidRPr="00000000" w14:paraId="0000003D">
      <w:pPr>
        <w:numPr>
          <w:ilvl w:val="0"/>
          <w:numId w:val="5"/>
        </w:numPr>
        <w:tabs>
          <w:tab w:val="left" w:pos="-1440"/>
        </w:tabs>
        <w:ind w:left="720" w:hanging="360"/>
        <w:rPr/>
      </w:pPr>
      <w:r w:rsidDel="00000000" w:rsidR="00000000" w:rsidRPr="00000000">
        <w:rPr>
          <w:rtl w:val="0"/>
        </w:rPr>
        <w:t xml:space="preserve">Administer COLD high potassium CRYSTALLOID cardioplegia. </w:t>
      </w:r>
    </w:p>
    <w:p w:rsidR="00000000" w:rsidDel="00000000" w:rsidP="00000000" w:rsidRDefault="00000000" w:rsidRPr="00000000" w14:paraId="0000003E">
      <w:pPr>
        <w:numPr>
          <w:ilvl w:val="0"/>
          <w:numId w:val="5"/>
        </w:numPr>
        <w:tabs>
          <w:tab w:val="left" w:pos="-1440"/>
        </w:tabs>
        <w:ind w:left="720" w:hanging="360"/>
        <w:rPr/>
      </w:pPr>
      <w:r w:rsidDel="00000000" w:rsidR="00000000" w:rsidRPr="00000000">
        <w:rPr>
          <w:rtl w:val="0"/>
        </w:rPr>
        <w:t xml:space="preserve">The total dosage of cardioplegia and use of topical ice/slush should be determined by surgeon protocol. </w:t>
      </w:r>
    </w:p>
    <w:p w:rsidR="00000000" w:rsidDel="00000000" w:rsidP="00000000" w:rsidRDefault="00000000" w:rsidRPr="00000000" w14:paraId="0000003F">
      <w:pPr>
        <w:numPr>
          <w:ilvl w:val="0"/>
          <w:numId w:val="5"/>
        </w:numPr>
        <w:tabs>
          <w:tab w:val="left" w:pos="-1440"/>
        </w:tabs>
        <w:ind w:left="720" w:hanging="360"/>
        <w:rPr/>
      </w:pPr>
      <w:r w:rsidDel="00000000" w:rsidR="00000000" w:rsidRPr="00000000">
        <w:rPr>
          <w:rtl w:val="0"/>
        </w:rPr>
        <w:t xml:space="preserve">If bi-caval cannulation is utilized, the right atrium can be opened and to suction the cold high potassium crystalloid cardioplegia to the waste suction off the surgical field. </w:t>
      </w:r>
    </w:p>
    <w:p w:rsidR="00000000" w:rsidDel="00000000" w:rsidP="00000000" w:rsidRDefault="00000000" w:rsidRPr="00000000" w14:paraId="00000040">
      <w:pPr>
        <w:numPr>
          <w:ilvl w:val="0"/>
          <w:numId w:val="5"/>
        </w:numPr>
        <w:tabs>
          <w:tab w:val="left" w:pos="-1440"/>
        </w:tabs>
        <w:ind w:left="720" w:hanging="360"/>
        <w:rPr/>
      </w:pPr>
      <w:r w:rsidDel="00000000" w:rsidR="00000000" w:rsidRPr="00000000">
        <w:rPr>
          <w:rtl w:val="0"/>
        </w:rPr>
        <w:t xml:space="preserve">Administer subsequent doses of low potassium cold crystalloid cardioplegia according to surgeon protocol. </w:t>
      </w:r>
    </w:p>
    <w:p w:rsidR="00000000" w:rsidDel="00000000" w:rsidP="00000000" w:rsidRDefault="00000000" w:rsidRPr="00000000" w14:paraId="00000041">
      <w:pPr>
        <w:numPr>
          <w:ilvl w:val="0"/>
          <w:numId w:val="5"/>
        </w:numPr>
        <w:tabs>
          <w:tab w:val="left" w:pos="-1440"/>
        </w:tabs>
        <w:ind w:left="720" w:hanging="360"/>
        <w:rPr/>
      </w:pPr>
      <w:r w:rsidDel="00000000" w:rsidR="00000000" w:rsidRPr="00000000">
        <w:rPr>
          <w:rtl w:val="0"/>
        </w:rPr>
        <w:t xml:space="preserve">Prior to removal of the cross clamp, administer a dose of WARM CRYSTALLOID CARDIOPLEGIA, followed by a dose of WARM BLOOD ONLY CARDIOPLEGIA.</w:t>
      </w:r>
    </w:p>
    <w:p w:rsidR="00000000" w:rsidDel="00000000" w:rsidP="00000000" w:rsidRDefault="00000000" w:rsidRPr="00000000" w14:paraId="00000042">
      <w:pPr>
        <w:numPr>
          <w:ilvl w:val="1"/>
          <w:numId w:val="5"/>
        </w:numPr>
        <w:tabs>
          <w:tab w:val="left" w:pos="-1440"/>
        </w:tabs>
        <w:ind w:left="1440" w:hanging="360"/>
        <w:rPr/>
      </w:pPr>
      <w:r w:rsidDel="00000000" w:rsidR="00000000" w:rsidRPr="00000000">
        <w:rPr>
          <w:rtl w:val="0"/>
        </w:rPr>
        <w:t xml:space="preserve">Dosage according to surgeon protocol. </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pPr>
      <w:r w:rsidDel="00000000" w:rsidR="00000000" w:rsidRPr="00000000">
        <w:rPr>
          <w:rtl w:val="0"/>
        </w:rPr>
        <w:t xml:space="preserve">If the presence of cold agglutinins is </w:t>
      </w:r>
      <w:r w:rsidDel="00000000" w:rsidR="00000000" w:rsidRPr="00000000">
        <w:rPr>
          <w:i w:val="1"/>
          <w:rtl w:val="0"/>
        </w:rPr>
        <w:t xml:space="preserve">determined intraoperatively</w:t>
      </w:r>
      <w:r w:rsidDel="00000000" w:rsidR="00000000" w:rsidRPr="00000000">
        <w:rPr>
          <w:rtl w:val="0"/>
        </w:rPr>
        <w:t xml:space="preserve">, then;</w:t>
      </w:r>
    </w:p>
    <w:p w:rsidR="00000000" w:rsidDel="00000000" w:rsidP="00000000" w:rsidRDefault="00000000" w:rsidRPr="00000000" w14:paraId="0000004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pPr>
      <w:r w:rsidDel="00000000" w:rsidR="00000000" w:rsidRPr="00000000">
        <w:rPr>
          <w:rtl w:val="0"/>
        </w:rPr>
        <w:t xml:space="preserve">Raise core temperature to normothermia.</w:t>
      </w:r>
    </w:p>
    <w:p w:rsidR="00000000" w:rsidDel="00000000" w:rsidP="00000000" w:rsidRDefault="00000000" w:rsidRPr="00000000" w14:paraId="0000004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tl w:val="0"/>
        </w:rPr>
        <w:t xml:space="preserve">Utilize warm retrograde cardioplegia to washout the myocardium.</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b w:val="1"/>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pPr>
      <w:r w:rsidDel="00000000" w:rsidR="00000000" w:rsidRPr="00000000">
        <w:rPr>
          <w:b w:val="1"/>
          <w:rtl w:val="0"/>
        </w:rPr>
        <w:t xml:space="preserve">CLINICAL ASSESSMENT/SCREENING:</w:t>
      </w:r>
      <w:r w:rsidDel="00000000" w:rsidR="00000000" w:rsidRPr="00000000">
        <w:rPr>
          <w:rtl w:val="0"/>
        </w:rPr>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pPr>
      <w:r w:rsidDel="00000000" w:rsidR="00000000" w:rsidRPr="00000000">
        <w:rPr>
          <w:i w:val="0"/>
          <w:smallCaps w:val="0"/>
          <w:strike w:val="0"/>
          <w:color w:val="000000"/>
          <w:u w:val="none"/>
          <w:shd w:fill="auto" w:val="clear"/>
          <w:vertAlign w:val="baseline"/>
          <w:rtl w:val="0"/>
        </w:rPr>
        <w:t xml:space="preserve">Contraindications: None</w:t>
      </w:r>
      <w:r w:rsidDel="00000000" w:rsidR="00000000" w:rsidRPr="00000000">
        <w:rPr>
          <w:rtl w:val="0"/>
        </w:rPr>
      </w:r>
    </w:p>
    <w:p w:rsidR="00000000" w:rsidDel="00000000" w:rsidP="00000000" w:rsidRDefault="00000000" w:rsidRPr="00000000" w14:paraId="00000049">
      <w:pPr>
        <w:pStyle w:val="Heading1"/>
        <w:rPr/>
      </w:pPr>
      <w:r w:rsidDel="00000000" w:rsidR="00000000" w:rsidRPr="00000000">
        <w:rPr>
          <w:rtl w:val="0"/>
        </w:rPr>
        <w:t xml:space="preserve">RELATED DOCUMENTS:</w:t>
      </w:r>
    </w:p>
    <w:p w:rsidR="00000000" w:rsidDel="00000000" w:rsidP="00000000" w:rsidRDefault="00000000" w:rsidRPr="00000000" w14:paraId="0000004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240" w:before="240" w:line="240" w:lineRule="auto"/>
        <w:ind w:left="720" w:right="0" w:hanging="720"/>
        <w:jc w:val="left"/>
        <w:rPr/>
      </w:pPr>
      <w:r w:rsidDel="00000000" w:rsidR="00000000" w:rsidRPr="00000000">
        <w:rPr>
          <w:rtl w:val="0"/>
        </w:rPr>
        <w:t xml:space="preserve">n/a</w:t>
      </w:r>
    </w:p>
    <w:p w:rsidR="00000000" w:rsidDel="00000000" w:rsidP="00000000" w:rsidRDefault="00000000" w:rsidRPr="00000000" w14:paraId="0000004B">
      <w:pPr>
        <w:pStyle w:val="Heading1"/>
        <w:rPr>
          <w:b w:val="0"/>
          <w:i w:val="1"/>
          <w:color w:val="ff0000"/>
        </w:rPr>
      </w:pPr>
      <w:bookmarkStart w:colFirst="0" w:colLast="0" w:name="_1fob9te" w:id="2"/>
      <w:bookmarkEnd w:id="2"/>
      <w:r w:rsidDel="00000000" w:rsidR="00000000" w:rsidRPr="00000000">
        <w:rPr>
          <w:rtl w:val="0"/>
        </w:rPr>
        <w:t xml:space="preserve">REFERENCES:</w:t>
      </w:r>
      <w:r w:rsidDel="00000000" w:rsidR="00000000" w:rsidRPr="00000000">
        <w:rPr>
          <w:rtl w:val="0"/>
        </w:rPr>
      </w:r>
    </w:p>
    <w:p w:rsidR="00000000" w:rsidDel="00000000" w:rsidP="00000000" w:rsidRDefault="00000000" w:rsidRPr="00000000" w14:paraId="0000004C">
      <w:pPr>
        <w:numPr>
          <w:ilvl w:val="0"/>
          <w:numId w:val="1"/>
        </w:numPr>
        <w:ind w:left="720" w:hanging="360"/>
        <w:rPr/>
      </w:pPr>
      <w:r w:rsidDel="00000000" w:rsidR="00000000" w:rsidRPr="00000000">
        <w:rPr>
          <w:rtl w:val="0"/>
        </w:rPr>
        <w:t xml:space="preserve">Atkinson VP, Soeding P, Horne G, Tatoulis J. Cold Agglutinins in Cardiac Surgery: Management of Myocardial Protection and Cardiopulmonary Bypass. Ann Thorac Surg 2008;85:310–1.</w:t>
      </w:r>
    </w:p>
    <w:p w:rsidR="00000000" w:rsidDel="00000000" w:rsidP="00000000" w:rsidRDefault="00000000" w:rsidRPr="00000000" w14:paraId="0000004D">
      <w:pPr>
        <w:numPr>
          <w:ilvl w:val="0"/>
          <w:numId w:val="1"/>
        </w:numPr>
        <w:ind w:left="720" w:hanging="360"/>
        <w:rPr/>
      </w:pPr>
      <w:r w:rsidDel="00000000" w:rsidR="00000000" w:rsidRPr="00000000">
        <w:rPr>
          <w:rtl w:val="0"/>
        </w:rPr>
        <w:t xml:space="preserve">Daaboul, D., Yuki, K., Wesley, M. and DiNardo, J. (2011). Anesthetic and Cardiopulmonary Bypass Considerations for Cardiac Surgery in Unique Pediatric Patient Populations: Sickle Cell Disease and Cold Agglutinin Disease. World Journal for Pediatric and Congenital Heart Surgery, 2(3), pp.364-370.</w:t>
      </w:r>
    </w:p>
    <w:p w:rsidR="00000000" w:rsidDel="00000000" w:rsidP="00000000" w:rsidRDefault="00000000" w:rsidRPr="00000000" w14:paraId="0000004E">
      <w:pPr>
        <w:numPr>
          <w:ilvl w:val="0"/>
          <w:numId w:val="1"/>
        </w:numPr>
        <w:ind w:left="720" w:hanging="360"/>
        <w:rPr/>
      </w:pPr>
      <w:r w:rsidDel="00000000" w:rsidR="00000000" w:rsidRPr="00000000">
        <w:rPr>
          <w:rtl w:val="0"/>
        </w:rPr>
        <w:t xml:space="preserve">Kypson AP, Warner JJ, Telen MJ, Milano CA. Paroxysmal cold hemoglobinuria and cardiopulmonary bypass. Ann Thorac Surg 2003;75:579-81.</w:t>
      </w:r>
    </w:p>
    <w:p w:rsidR="00000000" w:rsidDel="00000000" w:rsidP="00000000" w:rsidRDefault="00000000" w:rsidRPr="00000000" w14:paraId="0000004F">
      <w:pPr>
        <w:numPr>
          <w:ilvl w:val="0"/>
          <w:numId w:val="1"/>
        </w:numPr>
        <w:ind w:left="720" w:hanging="360"/>
        <w:rPr/>
      </w:pPr>
      <w:r w:rsidDel="00000000" w:rsidR="00000000" w:rsidRPr="00000000">
        <w:rPr>
          <w:rtl w:val="0"/>
        </w:rPr>
        <w:t xml:space="preserve">Panos A, Murith N, Myers PO, Kalangos A. Aortic arch repair and cold-reactive agglutinins: what to do? Ann Thorac Surg. 2007;84(:1403-4.</w:t>
      </w:r>
    </w:p>
    <w:p w:rsidR="00000000" w:rsidDel="00000000" w:rsidP="00000000" w:rsidRDefault="00000000" w:rsidRPr="00000000" w14:paraId="00000050">
      <w:pPr>
        <w:numPr>
          <w:ilvl w:val="0"/>
          <w:numId w:val="1"/>
        </w:numPr>
        <w:ind w:left="720" w:hanging="360"/>
        <w:rPr/>
      </w:pPr>
      <w:r w:rsidDel="00000000" w:rsidR="00000000" w:rsidRPr="00000000">
        <w:rPr>
          <w:rtl w:val="0"/>
        </w:rPr>
        <w:t xml:space="preserve">Hoffman JW Jr, Gilbert TB, Hyder M. Cold agglutinins complicating repair of aortic dissection using cardiopulmonary bypass and hypothermic circulatory arrest: case report and review. Perfusion. 2002;17:391-4.</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Style w:val="Heading1"/>
        <w:rPr/>
      </w:pPr>
      <w:bookmarkStart w:colFirst="0" w:colLast="0" w:name="_3znysh7" w:id="3"/>
      <w:bookmarkEnd w:id="3"/>
      <w:r w:rsidDel="00000000" w:rsidR="00000000" w:rsidRPr="00000000">
        <w:rPr>
          <w:rtl w:val="0"/>
        </w:rPr>
        <w:t xml:space="preserve">DISCLAIMER:</w:t>
      </w:r>
    </w:p>
    <w:p w:rsidR="00000000" w:rsidDel="00000000" w:rsidP="00000000" w:rsidRDefault="00000000" w:rsidRPr="00000000" w14:paraId="00000053">
      <w:pPr>
        <w:rPr>
          <w:color w:val="26282a"/>
          <w:highlight w:val="white"/>
        </w:rPr>
      </w:pPr>
      <w:r w:rsidDel="00000000" w:rsidR="00000000" w:rsidRPr="00000000">
        <w:rPr>
          <w:color w:val="26282a"/>
          <w:highlight w:val="white"/>
          <w:rtl w:val="0"/>
        </w:rPr>
        <w:t xml:space="preserve">In emergency situations, immediate life support measures of whatever appropriate nature come first with attention turning to measures described in this protocol/process as soon as possible and practical. </w:t>
      </w:r>
    </w:p>
    <w:p w:rsidR="00000000" w:rsidDel="00000000" w:rsidP="00000000" w:rsidRDefault="00000000" w:rsidRPr="00000000" w14:paraId="00000054">
      <w:pPr>
        <w:rPr>
          <w:color w:val="26282a"/>
          <w:highlight w:val="white"/>
        </w:rPr>
      </w:pPr>
      <w:r w:rsidDel="00000000" w:rsidR="00000000" w:rsidRPr="00000000">
        <w:rPr>
          <w:rtl w:val="0"/>
        </w:rPr>
      </w:r>
    </w:p>
    <w:p w:rsidR="00000000" w:rsidDel="00000000" w:rsidP="00000000" w:rsidRDefault="00000000" w:rsidRPr="00000000" w14:paraId="00000055">
      <w:pPr>
        <w:rPr>
          <w:color w:val="26282a"/>
          <w:highlight w:val="white"/>
        </w:rPr>
      </w:pPr>
      <w:r w:rsidDel="00000000" w:rsidR="00000000" w:rsidRPr="00000000">
        <w:rPr>
          <w:color w:val="26282a"/>
          <w:highlight w:val="white"/>
          <w:rtl w:val="0"/>
        </w:rPr>
        <w:t xml:space="preserve">This is a minimal protocol/process that may be exceeded at any time based on the judgment of the involved patient care personnel. </w:t>
      </w:r>
    </w:p>
    <w:p w:rsidR="00000000" w:rsidDel="00000000" w:rsidP="00000000" w:rsidRDefault="00000000" w:rsidRPr="00000000" w14:paraId="00000056">
      <w:pPr>
        <w:rPr>
          <w:color w:val="26282a"/>
          <w:highlight w:val="white"/>
        </w:rPr>
      </w:pPr>
      <w:r w:rsidDel="00000000" w:rsidR="00000000" w:rsidRPr="00000000">
        <w:rPr>
          <w:rtl w:val="0"/>
        </w:rPr>
      </w:r>
    </w:p>
    <w:p w:rsidR="00000000" w:rsidDel="00000000" w:rsidP="00000000" w:rsidRDefault="00000000" w:rsidRPr="00000000" w14:paraId="00000057">
      <w:pPr>
        <w:rPr>
          <w:color w:val="26282a"/>
          <w:highlight w:val="white"/>
        </w:rPr>
      </w:pPr>
      <w:r w:rsidDel="00000000" w:rsidR="00000000" w:rsidRPr="00000000">
        <w:rPr>
          <w:color w:val="26282a"/>
          <w:highlight w:val="white"/>
          <w:rtl w:val="0"/>
        </w:rPr>
        <w:t xml:space="preserve">This protocol/process encourages high quality patient care but observing it cannot guarantee any specific patient outcome. </w:t>
      </w:r>
    </w:p>
    <w:p w:rsidR="00000000" w:rsidDel="00000000" w:rsidP="00000000" w:rsidRDefault="00000000" w:rsidRPr="00000000" w14:paraId="00000058">
      <w:pPr>
        <w:rPr>
          <w:color w:val="26282a"/>
          <w:highlight w:val="white"/>
        </w:rPr>
      </w:pPr>
      <w:r w:rsidDel="00000000" w:rsidR="00000000" w:rsidRPr="00000000">
        <w:rPr>
          <w:rtl w:val="0"/>
        </w:rPr>
      </w:r>
    </w:p>
    <w:p w:rsidR="00000000" w:rsidDel="00000000" w:rsidP="00000000" w:rsidRDefault="00000000" w:rsidRPr="00000000" w14:paraId="00000059">
      <w:pPr>
        <w:rPr/>
      </w:pPr>
      <w:r w:rsidDel="00000000" w:rsidR="00000000" w:rsidRPr="00000000">
        <w:rPr>
          <w:color w:val="26282a"/>
          <w:highlight w:val="white"/>
          <w:rtl w:val="0"/>
        </w:rPr>
        <w:t xml:space="preserve">This protocol/process is subject to revision from time to time, as warranted by the evolution of technology and practice.</w:t>
      </w:r>
      <w:r w:rsidDel="00000000" w:rsidR="00000000" w:rsidRPr="00000000">
        <w:rPr>
          <w:rtl w:val="0"/>
        </w:rPr>
      </w:r>
    </w:p>
    <w:p w:rsidR="00000000" w:rsidDel="00000000" w:rsidP="00000000" w:rsidRDefault="00000000" w:rsidRPr="00000000" w14:paraId="0000005A">
      <w:pPr>
        <w:keepLines w:val="1"/>
        <w:spacing w:after="40" w:before="40" w:lineRule="auto"/>
        <w:ind w:left="720" w:hanging="720"/>
        <w:rPr>
          <w:color w:val="000000"/>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Review period: Review as changes occur or per institutional protocol.</w:t>
      </w:r>
    </w:p>
    <w:p w:rsidR="00000000" w:rsidDel="00000000" w:rsidP="00000000" w:rsidRDefault="00000000" w:rsidRPr="00000000" w14:paraId="0000005C">
      <w:pPr>
        <w:rPr/>
      </w:pPr>
      <w:r w:rsidDel="00000000" w:rsidR="00000000" w:rsidRPr="00000000">
        <w:rPr>
          <w:rtl w:val="0"/>
        </w:rPr>
        <w:t xml:space="preserve">Original hard copies and computer copies of this protocol are stored under the supervision of the Chief Perfusionist, Department of Cardiovascular Perfusion. </w:t>
      </w:r>
    </w:p>
    <w:p w:rsidR="00000000" w:rsidDel="00000000" w:rsidP="00000000" w:rsidRDefault="00000000" w:rsidRPr="00000000" w14:paraId="0000005D">
      <w:pPr>
        <w:rPr/>
      </w:pPr>
      <w:r w:rsidDel="00000000" w:rsidR="00000000" w:rsidRPr="00000000">
        <w:rPr>
          <w:rtl w:val="0"/>
        </w:rPr>
        <w:t xml:space="preserve">Documents relating to patient care standards are developed according to the accepted hospital standards.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APPROVED BY: </w:t>
      </w:r>
      <w:r w:rsidDel="00000000" w:rsidR="00000000" w:rsidRPr="00000000">
        <w:rPr>
          <w:b w:val="0"/>
          <w:i w:val="1"/>
          <w:color w:val="ff0000"/>
          <w:rtl w:val="0"/>
        </w:rPr>
        <w:t xml:space="preserve">(signature of CMO and CNE only required)</w:t>
      </w:r>
      <w:r w:rsidDel="00000000" w:rsidR="00000000" w:rsidRPr="00000000">
        <w:rPr>
          <w:rtl w:val="0"/>
        </w:rPr>
      </w:r>
    </w:p>
    <w:tbl>
      <w:tblPr>
        <w:tblStyle w:val="Table2"/>
        <w:tblW w:w="9360.0" w:type="dxa"/>
        <w:jc w:val="left"/>
        <w:tblInd w:w="0.0" w:type="dxa"/>
        <w:tblLayout w:type="fixed"/>
        <w:tblLook w:val="0000"/>
      </w:tblPr>
      <w:tblGrid>
        <w:gridCol w:w="2808"/>
        <w:gridCol w:w="4860"/>
        <w:gridCol w:w="736"/>
        <w:gridCol w:w="956"/>
        <w:tblGridChange w:id="0">
          <w:tblGrid>
            <w:gridCol w:w="2808"/>
            <w:gridCol w:w="4860"/>
            <w:gridCol w:w="736"/>
            <w:gridCol w:w="956"/>
          </w:tblGrid>
        </w:tblGridChange>
      </w:tblGrid>
      <w:tr>
        <w:tc>
          <w:tcPr/>
          <w:p w:rsidR="00000000" w:rsidDel="00000000" w:rsidP="00000000" w:rsidRDefault="00000000" w:rsidRPr="00000000" w14:paraId="00000060">
            <w:pPr>
              <w:rPr/>
            </w:pPr>
            <w:bookmarkStart w:colFirst="0" w:colLast="0" w:name="_2et92p0" w:id="4"/>
            <w:bookmarkEnd w:id="4"/>
            <w:r w:rsidDel="00000000" w:rsidR="00000000" w:rsidRPr="00000000">
              <w:rPr>
                <w:rtl w:val="0"/>
              </w:rPr>
              <w:t xml:space="preserve">Source:</w:t>
            </w:r>
          </w:p>
        </w:tc>
        <w:tc>
          <w:tcPr>
            <w:gridSpan w:val="3"/>
          </w:tcPr>
          <w:p w:rsidR="00000000" w:rsidDel="00000000" w:rsidP="00000000" w:rsidRDefault="00000000" w:rsidRPr="00000000" w14:paraId="00000061">
            <w:pPr>
              <w:rPr/>
            </w:pPr>
            <w:r w:rsidDel="00000000" w:rsidR="00000000" w:rsidRPr="00000000">
              <w:rPr>
                <w:color w:val="ff0000"/>
                <w:rtl w:val="0"/>
              </w:rPr>
              <w:t xml:space="preserve">(originating department/committee)</w:t>
            </w:r>
            <w:r w:rsidDel="00000000" w:rsidR="00000000" w:rsidRPr="00000000">
              <w:rPr>
                <w:rtl w:val="0"/>
              </w:rPr>
            </w:r>
          </w:p>
        </w:tc>
      </w:tr>
      <w:tr>
        <w:tc>
          <w:tcPr/>
          <w:p w:rsidR="00000000" w:rsidDel="00000000" w:rsidP="00000000" w:rsidRDefault="00000000" w:rsidRPr="00000000" w14:paraId="00000064">
            <w:pPr>
              <w:rPr/>
            </w:pPr>
            <w:r w:rsidDel="00000000" w:rsidR="00000000" w:rsidRPr="00000000">
              <w:rPr>
                <w:rtl w:val="0"/>
              </w:rPr>
              <w:t xml:space="preserve">Effective Date:</w:t>
            </w:r>
          </w:p>
        </w:tc>
        <w:tc>
          <w:tcPr>
            <w:gridSpan w:val="3"/>
          </w:tcPr>
          <w:p w:rsidR="00000000" w:rsidDel="00000000" w:rsidP="00000000" w:rsidRDefault="00000000" w:rsidRPr="00000000" w14:paraId="00000065">
            <w:pPr>
              <w:rPr>
                <w:color w:val="ff0000"/>
              </w:rPr>
            </w:pPr>
            <w:r w:rsidDel="00000000" w:rsidR="00000000" w:rsidRPr="00000000">
              <w:rPr>
                <w:color w:val="ff0000"/>
                <w:rtl w:val="0"/>
              </w:rPr>
              <w:t xml:space="preserve">(can use ‘created date’ for this)</w:t>
            </w:r>
          </w:p>
        </w:tc>
      </w:tr>
      <w:tr>
        <w:tc>
          <w:tcPr/>
          <w:p w:rsidR="00000000" w:rsidDel="00000000" w:rsidP="00000000" w:rsidRDefault="00000000" w:rsidRPr="00000000" w14:paraId="00000068">
            <w:pPr>
              <w:rPr/>
            </w:pPr>
            <w:r w:rsidDel="00000000" w:rsidR="00000000" w:rsidRPr="00000000">
              <w:rPr>
                <w:rtl w:val="0"/>
              </w:rPr>
              <w:t xml:space="preserve">Version Number:</w:t>
            </w:r>
          </w:p>
        </w:tc>
        <w:tc>
          <w:tcPr>
            <w:gridSpan w:val="3"/>
          </w:tcPr>
          <w:p w:rsidR="00000000" w:rsidDel="00000000" w:rsidP="00000000" w:rsidRDefault="00000000" w:rsidRPr="00000000" w14:paraId="00000069">
            <w:pPr>
              <w:rPr>
                <w:color w:val="ff0000"/>
              </w:rPr>
            </w:pPr>
            <w:r w:rsidDel="00000000" w:rsidR="00000000" w:rsidRPr="00000000">
              <w:rPr>
                <w:color w:val="ff0000"/>
                <w:rtl w:val="0"/>
              </w:rPr>
              <w:t xml:space="preserve">(should match # of revisions, use 1.0 if new document)</w:t>
            </w:r>
          </w:p>
        </w:tc>
      </w:tr>
      <w:tr>
        <w:tc>
          <w:tcPr/>
          <w:p w:rsidR="00000000" w:rsidDel="00000000" w:rsidP="00000000" w:rsidRDefault="00000000" w:rsidRPr="00000000" w14:paraId="0000006C">
            <w:pPr>
              <w:rPr/>
            </w:pPr>
            <w:r w:rsidDel="00000000" w:rsidR="00000000" w:rsidRPr="00000000">
              <w:rPr>
                <w:rtl w:val="0"/>
              </w:rPr>
              <w:t xml:space="preserve">Date Revised:</w:t>
            </w:r>
          </w:p>
        </w:tc>
        <w:tc>
          <w:tcPr>
            <w:gridSpan w:val="3"/>
          </w:tcPr>
          <w:p w:rsidR="00000000" w:rsidDel="00000000" w:rsidP="00000000" w:rsidRDefault="00000000" w:rsidRPr="00000000" w14:paraId="0000006D">
            <w:pPr>
              <w:pStyle w:val="Heading4"/>
              <w:rPr>
                <w:i w:val="0"/>
              </w:rPr>
            </w:pPr>
            <w:r w:rsidDel="00000000" w:rsidR="00000000" w:rsidRPr="00000000">
              <w:rPr>
                <w:i w:val="0"/>
                <w:rtl w:val="0"/>
              </w:rPr>
              <w:t xml:space="preserve">MM/YYYY; all dates any content changes were made</w:t>
            </w:r>
          </w:p>
        </w:tc>
      </w:tr>
      <w:tr>
        <w:tc>
          <w:tcPr/>
          <w:p w:rsidR="00000000" w:rsidDel="00000000" w:rsidP="00000000" w:rsidRDefault="00000000" w:rsidRPr="00000000" w14:paraId="00000070">
            <w:pPr>
              <w:rPr/>
            </w:pPr>
            <w:r w:rsidDel="00000000" w:rsidR="00000000" w:rsidRPr="00000000">
              <w:rPr>
                <w:rtl w:val="0"/>
              </w:rPr>
              <w:t xml:space="preserve">Date Reviewed:</w:t>
            </w:r>
          </w:p>
        </w:tc>
        <w:tc>
          <w:tcPr>
            <w:gridSpan w:val="3"/>
          </w:tcPr>
          <w:p w:rsidR="00000000" w:rsidDel="00000000" w:rsidP="00000000" w:rsidRDefault="00000000" w:rsidRPr="00000000" w14:paraId="00000071">
            <w:pPr>
              <w:rPr>
                <w:color w:val="ff0000"/>
              </w:rPr>
            </w:pPr>
            <w:r w:rsidDel="00000000" w:rsidR="00000000" w:rsidRPr="00000000">
              <w:rPr>
                <w:color w:val="ff0000"/>
                <w:rtl w:val="0"/>
              </w:rPr>
              <w:t xml:space="preserve">Amb. Care PPP:</w:t>
            </w:r>
          </w:p>
          <w:p w:rsidR="00000000" w:rsidDel="00000000" w:rsidP="00000000" w:rsidRDefault="00000000" w:rsidRPr="00000000" w14:paraId="00000072">
            <w:pPr>
              <w:rPr>
                <w:color w:val="ff0000"/>
              </w:rPr>
            </w:pPr>
            <w:r w:rsidDel="00000000" w:rsidR="00000000" w:rsidRPr="00000000">
              <w:rPr>
                <w:color w:val="ff0000"/>
                <w:rtl w:val="0"/>
              </w:rPr>
              <w:t xml:space="preserve">QSOS:</w:t>
            </w:r>
          </w:p>
        </w:tc>
      </w:tr>
      <w:tr>
        <w:tc>
          <w:tcPr/>
          <w:p w:rsidR="00000000" w:rsidDel="00000000" w:rsidP="00000000" w:rsidRDefault="00000000" w:rsidRPr="00000000" w14:paraId="00000075">
            <w:pPr>
              <w:rPr/>
            </w:pPr>
            <w:r w:rsidDel="00000000" w:rsidR="00000000" w:rsidRPr="00000000">
              <w:rPr>
                <w:rtl w:val="0"/>
              </w:rPr>
            </w:r>
          </w:p>
        </w:tc>
        <w:tc>
          <w:tcPr>
            <w:gridSpan w:val="3"/>
          </w:tcPr>
          <w:p w:rsidR="00000000" w:rsidDel="00000000" w:rsidP="00000000" w:rsidRDefault="00000000" w:rsidRPr="00000000" w14:paraId="00000076">
            <w:pPr>
              <w:rPr>
                <w:i w:val="1"/>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tc>
        <w:tc>
          <w:tcPr>
            <w:vAlign w:val="bottom"/>
          </w:tcPr>
          <w:p w:rsidR="00000000" w:rsidDel="00000000" w:rsidP="00000000" w:rsidRDefault="00000000" w:rsidRPr="00000000" w14:paraId="0000007C">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7D">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7E">
            <w:pPr>
              <w:rPr/>
            </w:pPr>
            <w:r w:rsidDel="00000000" w:rsidR="00000000" w:rsidRPr="00000000">
              <w:rPr>
                <w:rtl w:val="0"/>
              </w:rPr>
              <w:t xml:space="preserve">&lt;Insert Name&gt;</w:t>
            </w:r>
          </w:p>
          <w:p w:rsidR="00000000" w:rsidDel="00000000" w:rsidP="00000000" w:rsidRDefault="00000000" w:rsidRPr="00000000" w14:paraId="0000007F">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81">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82">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83">
            <w:pPr>
              <w:rPr/>
            </w:pPr>
            <w:r w:rsidDel="00000000" w:rsidR="00000000" w:rsidRPr="00000000">
              <w:rPr>
                <w:rtl w:val="0"/>
              </w:rPr>
            </w:r>
          </w:p>
        </w:tc>
        <w:tc>
          <w:tcPr>
            <w:vAlign w:val="bottom"/>
          </w:tcPr>
          <w:p w:rsidR="00000000" w:rsidDel="00000000" w:rsidP="00000000" w:rsidRDefault="00000000" w:rsidRPr="00000000" w14:paraId="00000085">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86">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87">
            <w:pPr>
              <w:rPr/>
            </w:pPr>
            <w:r w:rsidDel="00000000" w:rsidR="00000000" w:rsidRPr="00000000">
              <w:rPr>
                <w:rtl w:val="0"/>
              </w:rPr>
              <w:t xml:space="preserve">&lt;Insert Name&gt;</w:t>
            </w:r>
          </w:p>
          <w:p w:rsidR="00000000" w:rsidDel="00000000" w:rsidP="00000000" w:rsidRDefault="00000000" w:rsidRPr="00000000" w14:paraId="00000088">
            <w:pPr>
              <w:rPr/>
            </w:pPr>
            <w:r w:rsidDel="00000000" w:rsidR="00000000" w:rsidRPr="00000000">
              <w:rPr>
                <w:i w:val="1"/>
                <w:rtl w:val="0"/>
              </w:rPr>
              <w:t xml:space="preserve">&lt;Insert Title&gt;</w:t>
            </w:r>
            <w:r w:rsidDel="00000000" w:rsidR="00000000" w:rsidRPr="00000000">
              <w:rPr>
                <w:rtl w:val="0"/>
              </w:rPr>
            </w:r>
          </w:p>
        </w:tc>
        <w:tc>
          <w:tcPr>
            <w:vAlign w:val="bottom"/>
          </w:tcPr>
          <w:p w:rsidR="00000000" w:rsidDel="00000000" w:rsidP="00000000" w:rsidRDefault="00000000" w:rsidRPr="00000000" w14:paraId="0000008A">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8B">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8C">
            <w:pPr>
              <w:rPr/>
            </w:pPr>
            <w:r w:rsidDel="00000000" w:rsidR="00000000" w:rsidRPr="00000000">
              <w:rPr>
                <w:rtl w:val="0"/>
              </w:rPr>
            </w:r>
          </w:p>
        </w:tc>
        <w:tc>
          <w:tcPr>
            <w:vAlign w:val="bottom"/>
          </w:tcPr>
          <w:p w:rsidR="00000000" w:rsidDel="00000000" w:rsidP="00000000" w:rsidRDefault="00000000" w:rsidRPr="00000000" w14:paraId="0000008E">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8F">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90">
            <w:pPr>
              <w:rPr/>
            </w:pPr>
            <w:r w:rsidDel="00000000" w:rsidR="00000000" w:rsidRPr="00000000">
              <w:rPr>
                <w:rtl w:val="0"/>
              </w:rPr>
              <w:t xml:space="preserve">&lt;Insert Name&gt;</w:t>
            </w:r>
          </w:p>
          <w:p w:rsidR="00000000" w:rsidDel="00000000" w:rsidP="00000000" w:rsidRDefault="00000000" w:rsidRPr="00000000" w14:paraId="00000091">
            <w:pPr>
              <w:rPr/>
            </w:pPr>
            <w:r w:rsidDel="00000000" w:rsidR="00000000" w:rsidRPr="00000000">
              <w:rPr>
                <w:rtl w:val="0"/>
              </w:rPr>
              <w:t xml:space="preserve">&lt;Insert Hospital Name&gt; Chief Medical Officer</w:t>
            </w:r>
          </w:p>
        </w:tc>
        <w:tc>
          <w:tcPr>
            <w:vAlign w:val="bottom"/>
          </w:tcPr>
          <w:p w:rsidR="00000000" w:rsidDel="00000000" w:rsidP="00000000" w:rsidRDefault="00000000" w:rsidRPr="00000000" w14:paraId="00000093">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94">
            <w:pPr>
              <w:rPr/>
            </w:pPr>
            <w:r w:rsidDel="00000000" w:rsidR="00000000" w:rsidRPr="00000000">
              <w:rPr>
                <w:rtl w:val="0"/>
              </w:rPr>
            </w:r>
          </w:p>
        </w:tc>
      </w:tr>
      <w:tr>
        <w:trPr>
          <w:trHeight w:val="552" w:hRule="atLeast"/>
        </w:trPr>
        <w:tc>
          <w:tcPr>
            <w:gridSpan w:val="2"/>
            <w:tcBorders>
              <w:bottom w:color="000000" w:space="0" w:sz="4" w:val="single"/>
            </w:tcBorders>
            <w:vAlign w:val="center"/>
          </w:tcPr>
          <w:p w:rsidR="00000000" w:rsidDel="00000000" w:rsidP="00000000" w:rsidRDefault="00000000" w:rsidRPr="00000000" w14:paraId="00000095">
            <w:pPr>
              <w:rPr/>
            </w:pPr>
            <w:r w:rsidDel="00000000" w:rsidR="00000000" w:rsidRPr="00000000">
              <w:rPr>
                <w:rtl w:val="0"/>
              </w:rPr>
            </w:r>
          </w:p>
        </w:tc>
        <w:tc>
          <w:tcPr>
            <w:vAlign w:val="bottom"/>
          </w:tcPr>
          <w:p w:rsidR="00000000" w:rsidDel="00000000" w:rsidP="00000000" w:rsidRDefault="00000000" w:rsidRPr="00000000" w14:paraId="00000097">
            <w:pPr>
              <w:rPr/>
            </w:pPr>
            <w:r w:rsidDel="00000000" w:rsidR="00000000" w:rsidRPr="00000000">
              <w:rPr>
                <w:rtl w:val="0"/>
              </w:rPr>
              <w:t xml:space="preserve">Date:</w:t>
            </w:r>
          </w:p>
        </w:tc>
        <w:tc>
          <w:tcPr>
            <w:tcBorders>
              <w:bottom w:color="000000" w:space="0" w:sz="4" w:val="single"/>
            </w:tcBorders>
          </w:tcPr>
          <w:p w:rsidR="00000000" w:rsidDel="00000000" w:rsidP="00000000" w:rsidRDefault="00000000" w:rsidRPr="00000000" w14:paraId="00000098">
            <w:pPr>
              <w:rPr/>
            </w:pPr>
            <w:r w:rsidDel="00000000" w:rsidR="00000000" w:rsidRPr="00000000">
              <w:rPr>
                <w:rtl w:val="0"/>
              </w:rPr>
            </w:r>
          </w:p>
        </w:tc>
      </w:tr>
      <w:tr>
        <w:trPr>
          <w:trHeight w:val="552" w:hRule="atLeast"/>
        </w:trPr>
        <w:tc>
          <w:tcPr>
            <w:gridSpan w:val="2"/>
            <w:tcBorders>
              <w:top w:color="000000" w:space="0" w:sz="4" w:val="single"/>
            </w:tcBorders>
            <w:vAlign w:val="center"/>
          </w:tcPr>
          <w:p w:rsidR="00000000" w:rsidDel="00000000" w:rsidP="00000000" w:rsidRDefault="00000000" w:rsidRPr="00000000" w14:paraId="00000099">
            <w:pPr>
              <w:rPr/>
            </w:pPr>
            <w:r w:rsidDel="00000000" w:rsidR="00000000" w:rsidRPr="00000000">
              <w:rPr>
                <w:rtl w:val="0"/>
              </w:rPr>
              <w:t xml:space="preserve">&lt;Insert Name&gt;</w:t>
            </w:r>
          </w:p>
          <w:p w:rsidR="00000000" w:rsidDel="00000000" w:rsidP="00000000" w:rsidRDefault="00000000" w:rsidRPr="00000000" w14:paraId="0000009A">
            <w:pPr>
              <w:rPr/>
            </w:pPr>
            <w:r w:rsidDel="00000000" w:rsidR="00000000" w:rsidRPr="00000000">
              <w:rPr>
                <w:rtl w:val="0"/>
              </w:rPr>
              <w:t xml:space="preserve">&lt;Insert Hospital Name&gt; Chief Nursing Executive</w:t>
            </w:r>
          </w:p>
        </w:tc>
        <w:tc>
          <w:tcPr>
            <w:vAlign w:val="bottom"/>
          </w:tcPr>
          <w:p w:rsidR="00000000" w:rsidDel="00000000" w:rsidP="00000000" w:rsidRDefault="00000000" w:rsidRPr="00000000" w14:paraId="0000009C">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9D">
            <w:pPr>
              <w:rPr/>
            </w:pPr>
            <w:r w:rsidDel="00000000" w:rsidR="00000000" w:rsidRPr="00000000">
              <w:rPr>
                <w:rtl w:val="0"/>
              </w:rPr>
            </w:r>
          </w:p>
        </w:tc>
      </w:tr>
    </w:tbl>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pgMar w:bottom="720" w:top="720" w:left="1440" w:right="1440" w:header="288"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&lt;</w:t>
    </w:r>
    <w:r w:rsidDel="00000000" w:rsidR="00000000" w:rsidRPr="00000000">
      <w:rPr>
        <w:rtl w:val="0"/>
      </w:rPr>
      <w:t xml:space="preserve">Cold Agglutinins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 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360.0" w:type="dxa"/>
      <w:jc w:val="left"/>
      <w:tblInd w:w="0.0" w:type="dxa"/>
      <w:tblLayout w:type="fixed"/>
      <w:tblLook w:val="0000"/>
    </w:tblPr>
    <w:tblGrid>
      <w:gridCol w:w="5616"/>
      <w:gridCol w:w="429"/>
      <w:gridCol w:w="771"/>
      <w:gridCol w:w="2544"/>
      <w:tblGridChange w:id="0">
        <w:tblGrid>
          <w:gridCol w:w="5616"/>
          <w:gridCol w:w="429"/>
          <w:gridCol w:w="771"/>
          <w:gridCol w:w="2544"/>
        </w:tblGrid>
      </w:tblGridChange>
    </w:tblGrid>
    <w:tr>
      <w:trPr>
        <w:trHeight w:val="1260" w:hRule="atLeast"/>
      </w:trPr>
      <w:tc>
        <w:tcPr/>
        <w:p w:rsidR="00000000" w:rsidDel="00000000" w:rsidP="00000000" w:rsidRDefault="00000000" w:rsidRPr="00000000" w14:paraId="000000A0">
          <w:pPr>
            <w:widowControl w:val="0"/>
            <w:rPr>
              <w:sz w:val="22"/>
              <w:szCs w:val="22"/>
            </w:rPr>
          </w:pPr>
          <w:r w:rsidDel="00000000" w:rsidR="00000000" w:rsidRPr="00000000">
            <w:rPr>
              <w:rtl w:val="0"/>
            </w:rPr>
          </w:r>
        </w:p>
        <w:p w:rsidR="00000000" w:rsidDel="00000000" w:rsidP="00000000" w:rsidRDefault="00000000" w:rsidRPr="00000000" w14:paraId="000000A1">
          <w:pPr>
            <w:widowControl w:val="0"/>
            <w:jc w:val="center"/>
            <w:rPr>
              <w:sz w:val="22"/>
              <w:szCs w:val="22"/>
            </w:rPr>
          </w:pPr>
          <w:r w:rsidDel="00000000" w:rsidR="00000000" w:rsidRPr="00000000">
            <w:rPr>
              <w:sz w:val="22"/>
              <w:szCs w:val="22"/>
            </w:rPr>
            <w:drawing>
              <wp:inline distB="0" distT="0" distL="0" distR="0">
                <wp:extent cx="3429000" cy="904875"/>
                <wp:effectExtent b="0" l="0" r="0" t="0"/>
                <wp:docPr descr="A picture containing knife&#10;&#10;Description automatically generated" id="1" name="image1.png"/>
                <a:graphic>
                  <a:graphicData uri="http://schemas.openxmlformats.org/drawingml/2006/picture">
                    <pic:pic>
                      <pic:nvPicPr>
                        <pic:cNvPr descr="A picture containing knife&#10;&#10;Description automatically generated" id="0" name="image1.png"/>
                        <pic:cNvPicPr preferRelativeResize="0"/>
                      </pic:nvPicPr>
                      <pic:blipFill>
                        <a:blip r:embed="rId1"/>
                        <a:srcRect b="0" l="0" r="0" t="0"/>
                        <a:stretch>
                          <a:fillRect/>
                        </a:stretch>
                      </pic:blipFill>
                      <pic:spPr>
                        <a:xfrm>
                          <a:off x="0" y="0"/>
                          <a:ext cx="3429000" cy="90487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A2">
          <w:pPr>
            <w:widowControl w:val="0"/>
            <w:rPr>
              <w:sz w:val="22"/>
              <w:szCs w:val="22"/>
            </w:rPr>
          </w:pPr>
          <w:r w:rsidDel="00000000" w:rsidR="00000000" w:rsidRPr="00000000">
            <w:rPr>
              <w:rtl w:val="0"/>
            </w:rPr>
          </w:r>
        </w:p>
      </w:tc>
      <w:tc>
        <w:tcPr>
          <w:gridSpan w:val="2"/>
          <w:vAlign w:val="center"/>
        </w:tcPr>
        <w:p w:rsidR="00000000" w:rsidDel="00000000" w:rsidP="00000000" w:rsidRDefault="00000000" w:rsidRPr="00000000" w14:paraId="000000A3">
          <w:pPr>
            <w:keepNext w:val="1"/>
            <w:spacing w:after="60" w:lineRule="auto"/>
            <w:ind w:right="-108"/>
            <w:jc w:val="right"/>
            <w:rPr>
              <w:b w:val="1"/>
              <w:sz w:val="28"/>
              <w:szCs w:val="28"/>
            </w:rPr>
          </w:pPr>
          <w:r w:rsidDel="00000000" w:rsidR="00000000" w:rsidRPr="00000000">
            <w:rPr>
              <w:b w:val="1"/>
              <w:sz w:val="28"/>
              <w:szCs w:val="28"/>
              <w:rtl w:val="0"/>
            </w:rPr>
            <w:t xml:space="preserve">Departmental Clinical Protocol Manual</w:t>
          </w:r>
        </w:p>
      </w:tc>
    </w:tr>
    <w:tr>
      <w:trPr>
        <w:trHeight w:val="343" w:hRule="atLeast"/>
      </w:trPr>
      <w:tc>
        <w:tcPr>
          <w:gridSpan w:val="3"/>
          <w:tcBorders>
            <w:top w:color="000000" w:space="0" w:sz="18" w:val="single"/>
            <w:bottom w:color="000000" w:space="0" w:sz="18" w:val="single"/>
          </w:tcBorders>
        </w:tcPr>
        <w:p w:rsidR="00000000" w:rsidDel="00000000" w:rsidP="00000000" w:rsidRDefault="00000000" w:rsidRPr="00000000" w14:paraId="000000A5">
          <w:pPr>
            <w:keepNext w:val="1"/>
            <w:tabs>
              <w:tab w:val="left" w:pos="4425"/>
            </w:tabs>
            <w:spacing w:after="240" w:before="240" w:line="280" w:lineRule="auto"/>
            <w:ind w:left="-108" w:firstLine="0"/>
            <w:rPr>
              <w:b w:val="1"/>
              <w:sz w:val="28"/>
              <w:szCs w:val="28"/>
            </w:rPr>
          </w:pPr>
          <w:r w:rsidDel="00000000" w:rsidR="00000000" w:rsidRPr="00000000">
            <w:rPr>
              <w:b w:val="1"/>
              <w:sz w:val="28"/>
              <w:szCs w:val="28"/>
              <w:rtl w:val="0"/>
            </w:rPr>
            <w:t xml:space="preserve">Clinical Protocol                                                  </w:t>
          </w:r>
        </w:p>
      </w:tc>
      <w:tc>
        <w:tcPr>
          <w:tcBorders>
            <w:top w:color="000000" w:space="0" w:sz="18" w:val="single"/>
            <w:bottom w:color="000000" w:space="0" w:sz="18" w:val="single"/>
          </w:tcBorders>
        </w:tcPr>
        <w:p w:rsidR="00000000" w:rsidDel="00000000" w:rsidP="00000000" w:rsidRDefault="00000000" w:rsidRPr="00000000" w14:paraId="000000A8">
          <w:pPr>
            <w:keepNext w:val="1"/>
            <w:keepLines w:val="0"/>
            <w:widowControl w:val="1"/>
            <w:pBdr>
              <w:top w:space="0" w:sz="0" w:val="nil"/>
              <w:left w:space="0" w:sz="0" w:val="nil"/>
              <w:bottom w:space="0" w:sz="0" w:val="nil"/>
              <w:right w:space="0" w:sz="0" w:val="nil"/>
              <w:between w:space="0" w:sz="0" w:val="nil"/>
            </w:pBdr>
            <w:shd w:fill="auto" w:val="clear"/>
            <w:tabs>
              <w:tab w:val="left" w:pos="4610"/>
            </w:tabs>
            <w:spacing w:after="240" w:before="240" w:line="280" w:lineRule="auto"/>
            <w:ind w:left="0" w:right="-90" w:firstLine="0"/>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CP.XX.xxx</w:t>
          </w:r>
        </w:p>
      </w:tc>
    </w:tr>
  </w:tbl>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720"/>
      </w:pPr>
      <w:rPr>
        <w:rFonts w:ascii="Times New Roman" w:cs="Times New Roman" w:eastAsia="Times New Roman" w:hAnsi="Times New Roman"/>
        <w:b w:val="0"/>
        <w:i w:val="0"/>
        <w:color w:val="000000"/>
        <w:sz w:val="24"/>
        <w:szCs w:val="24"/>
      </w:rPr>
    </w:lvl>
    <w:lvl w:ilvl="1">
      <w:start w:val="1"/>
      <w:numFmt w:val="decimal"/>
      <w:lvlText w:val="%2."/>
      <w:lvlJc w:val="left"/>
      <w:pPr>
        <w:ind w:left="1440" w:hanging="720"/>
      </w:pPr>
      <w:rPr>
        <w:rFonts w:ascii="Times New Roman" w:cs="Times New Roman" w:eastAsia="Times New Roman" w:hAnsi="Times New Roman"/>
        <w:b w:val="0"/>
        <w:i w:val="0"/>
        <w:color w:val="000000"/>
        <w:sz w:val="24"/>
        <w:szCs w:val="24"/>
      </w:rPr>
    </w:lvl>
    <w:lvl w:ilvl="2">
      <w:start w:val="1"/>
      <w:numFmt w:val="lowerLetter"/>
      <w:lvlText w:val="%3)"/>
      <w:lvlJc w:val="left"/>
      <w:pPr>
        <w:ind w:left="2160" w:hanging="720"/>
      </w:pPr>
      <w:rPr>
        <w:rFonts w:ascii="Times New Roman" w:cs="Times New Roman" w:eastAsia="Times New Roman" w:hAnsi="Times New Roman"/>
        <w:b w:val="0"/>
        <w:i w:val="0"/>
        <w:sz w:val="24"/>
        <w:szCs w:val="24"/>
      </w:rPr>
    </w:lvl>
    <w:lvl w:ilvl="3">
      <w:start w:val="1"/>
      <w:numFmt w:val="lowerRoman"/>
      <w:lvlText w:val="(%4)"/>
      <w:lvlJc w:val="left"/>
      <w:pPr>
        <w:ind w:left="2880" w:hanging="720"/>
      </w:pPr>
      <w:rPr>
        <w:rFonts w:ascii="Times New Roman" w:cs="Times New Roman" w:eastAsia="Times New Roman" w:hAnsi="Times New Roman"/>
        <w:b w:val="0"/>
        <w:i w:val="0"/>
        <w:color w:val="000000"/>
        <w:sz w:val="24"/>
        <w:szCs w:val="24"/>
      </w:rPr>
    </w:lvl>
    <w:lvl w:ilvl="4">
      <w:start w:val="1"/>
      <w:numFmt w:val="bullet"/>
      <w:lvlText w:val="−"/>
      <w:lvlJc w:val="left"/>
      <w:pPr>
        <w:ind w:left="3600" w:hanging="720"/>
      </w:pPr>
      <w:rPr>
        <w:rFonts w:ascii="Noto Sans Symbols" w:cs="Noto Sans Symbols" w:eastAsia="Noto Sans Symbols" w:hAnsi="Noto Sans Symbols"/>
      </w:rPr>
    </w:lvl>
    <w:lvl w:ilvl="5">
      <w:start w:val="1"/>
      <w:numFmt w:val="bullet"/>
      <w:lvlText w:val="▪"/>
      <w:lvlJc w:val="left"/>
      <w:pPr>
        <w:ind w:left="4320" w:hanging="720"/>
      </w:pPr>
      <w:rPr>
        <w:rFonts w:ascii="Noto Sans Symbols" w:cs="Noto Sans Symbols" w:eastAsia="Noto Sans Symbols" w:hAnsi="Noto Sans Symbols"/>
      </w:rPr>
    </w:lvl>
    <w:lvl w:ilvl="6">
      <w:start w:val="1"/>
      <w:numFmt w:val="bullet"/>
      <w:lvlText w:val="●"/>
      <w:lvlJc w:val="left"/>
      <w:pPr>
        <w:ind w:left="5040" w:hanging="720"/>
      </w:pPr>
      <w:rPr>
        <w:rFonts w:ascii="Noto Sans Symbols" w:cs="Noto Sans Symbols" w:eastAsia="Noto Sans Symbols" w:hAnsi="Noto Sans Symbols"/>
      </w:rPr>
    </w:lvl>
    <w:lvl w:ilvl="7">
      <w:start w:val="1"/>
      <w:numFmt w:val="bullet"/>
      <w:lvlText w:val="o"/>
      <w:lvlJc w:val="left"/>
      <w:pPr>
        <w:ind w:left="5760" w:hanging="720"/>
      </w:pPr>
      <w:rPr>
        <w:rFonts w:ascii="Courier New" w:cs="Courier New" w:eastAsia="Courier New" w:hAnsi="Courier New"/>
      </w:rPr>
    </w:lvl>
    <w:lvl w:ilvl="8">
      <w:start w:val="1"/>
      <w:numFmt w:val="bullet"/>
      <w:lvlText w:val="▪"/>
      <w:lvlJc w:val="left"/>
      <w:pPr>
        <w:ind w:left="6480" w:hanging="720"/>
      </w:pPr>
      <w:rPr>
        <w:rFonts w:ascii="Noto Sans Symbols" w:cs="Noto Sans Symbols" w:eastAsia="Noto Sans Symbols" w:hAnsi="Noto Sans Symbols"/>
      </w:rPr>
    </w:lvl>
  </w:abstractNum>
  <w:abstractNum w:abstractNumId="4">
    <w:lvl w:ilvl="0">
      <w:start w:val="1"/>
      <w:numFmt w:val="upperLetter"/>
      <w:lvlText w:val="%1."/>
      <w:lvlJc w:val="left"/>
      <w:pPr>
        <w:ind w:left="720" w:hanging="720"/>
      </w:pPr>
      <w:rPr>
        <w:rFonts w:ascii="Times New Roman" w:cs="Times New Roman" w:eastAsia="Times New Roman" w:hAnsi="Times New Roman"/>
        <w:b w:val="0"/>
        <w:i w:val="0"/>
        <w:color w:val="000000"/>
        <w:sz w:val="24"/>
        <w:szCs w:val="24"/>
      </w:rPr>
    </w:lvl>
    <w:lvl w:ilvl="1">
      <w:start w:val="1"/>
      <w:numFmt w:val="decimal"/>
      <w:lvlText w:val="%2."/>
      <w:lvlJc w:val="left"/>
      <w:pPr>
        <w:ind w:left="1440" w:hanging="720"/>
      </w:pPr>
      <w:rPr>
        <w:rFonts w:ascii="Times New Roman" w:cs="Times New Roman" w:eastAsia="Times New Roman" w:hAnsi="Times New Roman"/>
        <w:b w:val="0"/>
        <w:i w:val="0"/>
        <w:color w:val="000000"/>
        <w:sz w:val="24"/>
        <w:szCs w:val="24"/>
      </w:rPr>
    </w:lvl>
    <w:lvl w:ilvl="2">
      <w:start w:val="1"/>
      <w:numFmt w:val="lowerLetter"/>
      <w:lvlText w:val="%3)"/>
      <w:lvlJc w:val="left"/>
      <w:pPr>
        <w:ind w:left="2160" w:hanging="720"/>
      </w:pPr>
      <w:rPr>
        <w:rFonts w:ascii="Times New Roman" w:cs="Times New Roman" w:eastAsia="Times New Roman" w:hAnsi="Times New Roman"/>
        <w:b w:val="0"/>
        <w:i w:val="0"/>
        <w:sz w:val="24"/>
        <w:szCs w:val="24"/>
      </w:rPr>
    </w:lvl>
    <w:lvl w:ilvl="3">
      <w:start w:val="1"/>
      <w:numFmt w:val="lowerRoman"/>
      <w:lvlText w:val="(%4)"/>
      <w:lvlJc w:val="left"/>
      <w:pPr>
        <w:ind w:left="2880" w:hanging="720"/>
      </w:pPr>
      <w:rPr>
        <w:rFonts w:ascii="Times New Roman" w:cs="Times New Roman" w:eastAsia="Times New Roman" w:hAnsi="Times New Roman"/>
        <w:b w:val="0"/>
        <w:i w:val="0"/>
        <w:color w:val="000000"/>
        <w:sz w:val="24"/>
        <w:szCs w:val="24"/>
      </w:rPr>
    </w:lvl>
    <w:lvl w:ilvl="4">
      <w:start w:val="1"/>
      <w:numFmt w:val="bullet"/>
      <w:lvlText w:val="−"/>
      <w:lvlJc w:val="left"/>
      <w:pPr>
        <w:ind w:left="3600" w:hanging="720"/>
      </w:pPr>
      <w:rPr>
        <w:rFonts w:ascii="Noto Sans Symbols" w:cs="Noto Sans Symbols" w:eastAsia="Noto Sans Symbols" w:hAnsi="Noto Sans Symbols"/>
      </w:rPr>
    </w:lvl>
    <w:lvl w:ilvl="5">
      <w:start w:val="1"/>
      <w:numFmt w:val="bullet"/>
      <w:lvlText w:val="▪"/>
      <w:lvlJc w:val="left"/>
      <w:pPr>
        <w:ind w:left="4320" w:hanging="720"/>
      </w:pPr>
      <w:rPr>
        <w:rFonts w:ascii="Noto Sans Symbols" w:cs="Noto Sans Symbols" w:eastAsia="Noto Sans Symbols" w:hAnsi="Noto Sans Symbols"/>
      </w:rPr>
    </w:lvl>
    <w:lvl w:ilvl="6">
      <w:start w:val="1"/>
      <w:numFmt w:val="bullet"/>
      <w:lvlText w:val="●"/>
      <w:lvlJc w:val="left"/>
      <w:pPr>
        <w:ind w:left="5040" w:hanging="720"/>
      </w:pPr>
      <w:rPr>
        <w:rFonts w:ascii="Noto Sans Symbols" w:cs="Noto Sans Symbols" w:eastAsia="Noto Sans Symbols" w:hAnsi="Noto Sans Symbols"/>
      </w:rPr>
    </w:lvl>
    <w:lvl w:ilvl="7">
      <w:start w:val="1"/>
      <w:numFmt w:val="bullet"/>
      <w:lvlText w:val="o"/>
      <w:lvlJc w:val="left"/>
      <w:pPr>
        <w:ind w:left="5760" w:hanging="720"/>
      </w:pPr>
      <w:rPr>
        <w:rFonts w:ascii="Courier New" w:cs="Courier New" w:eastAsia="Courier New" w:hAnsi="Courier New"/>
      </w:rPr>
    </w:lvl>
    <w:lvl w:ilvl="8">
      <w:start w:val="1"/>
      <w:numFmt w:val="bullet"/>
      <w:lvlText w:val="▪"/>
      <w:lvlJc w:val="left"/>
      <w:pPr>
        <w:ind w:left="6480" w:hanging="72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240" w:before="240" w:lineRule="auto"/>
    </w:pPr>
    <w:rPr>
      <w:b w:val="1"/>
    </w:rPr>
  </w:style>
  <w:style w:type="paragraph" w:styleId="Heading2">
    <w:name w:val="heading 2"/>
    <w:basedOn w:val="Normal"/>
    <w:next w:val="Normal"/>
    <w:pPr>
      <w:keepNext w:val="1"/>
    </w:pPr>
    <w:rPr>
      <w:rFonts w:ascii="CG Times" w:cs="CG Times" w:eastAsia="CG Times" w:hAnsi="CG Times"/>
    </w:rPr>
  </w:style>
  <w:style w:type="paragraph" w:styleId="Heading3">
    <w:name w:val="heading 3"/>
    <w:basedOn w:val="Normal"/>
    <w:next w:val="Normal"/>
    <w:pPr>
      <w:tabs>
        <w:tab w:val="center" w:pos="4680"/>
        <w:tab w:val="right" w:pos="9360"/>
      </w:tabs>
      <w:ind w:left="1440" w:hanging="720"/>
    </w:pPr>
    <w:rPr/>
  </w:style>
  <w:style w:type="paragraph" w:styleId="Heading4">
    <w:name w:val="heading 4"/>
    <w:basedOn w:val="Normal"/>
    <w:next w:val="Normal"/>
    <w:pPr>
      <w:keepNext w:val="1"/>
    </w:pPr>
    <w:rPr>
      <w:i w:val="1"/>
      <w:color w:val="ff0000"/>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